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F4332" w14:textId="77777777" w:rsidR="001D63A8" w:rsidRPr="001D63A8" w:rsidRDefault="00E57D54" w:rsidP="001D63A8">
      <w:pPr>
        <w:pStyle w:val="Title1"/>
      </w:pPr>
      <w:r>
        <w:t>A</w:t>
      </w:r>
      <w:bookmarkStart w:id="0" w:name="_Ref288734074"/>
      <w:bookmarkStart w:id="1" w:name="_Ref292620369"/>
      <w:bookmarkEnd w:id="0"/>
      <w:bookmarkEnd w:id="1"/>
      <w:r>
        <w:t>nalyzing Student Action Sequences</w:t>
      </w:r>
      <w:r w:rsidR="001D63A8">
        <w:t xml:space="preserve"> and Affect</w:t>
      </w:r>
      <w:r>
        <w:t xml:space="preserve"> </w:t>
      </w:r>
      <w:r w:rsidR="001D63A8">
        <w:t>While</w:t>
      </w:r>
      <w:r>
        <w:t xml:space="preserve"> </w:t>
      </w:r>
      <w:r w:rsidR="001D63A8">
        <w:t xml:space="preserve">Playing </w:t>
      </w:r>
      <w:r w:rsidR="009355D0">
        <w:t xml:space="preserve">Physics </w:t>
      </w:r>
      <w:r w:rsidR="001D63A8">
        <w:t>Playground</w:t>
      </w:r>
    </w:p>
    <w:p w14:paraId="2491AB55" w14:textId="77777777" w:rsidR="003E7033" w:rsidRDefault="003E7033" w:rsidP="003E7033">
      <w:pPr>
        <w:pStyle w:val="author"/>
        <w:spacing w:after="0"/>
        <w:rPr>
          <w:lang w:val="de-DE"/>
        </w:rPr>
      </w:pPr>
      <w:r>
        <w:rPr>
          <w:lang w:val="de-DE"/>
        </w:rPr>
        <w:t>Juan Miguel L. Andres</w:t>
      </w:r>
      <w:r w:rsidRPr="00CB2306">
        <w:rPr>
          <w:vertAlign w:val="superscript"/>
          <w:lang w:val="de-DE"/>
        </w:rPr>
        <w:t>1</w:t>
      </w:r>
      <w:r>
        <w:rPr>
          <w:lang w:val="de-DE"/>
        </w:rPr>
        <w:t>, Ma. Mercedes T. Rodrigo</w:t>
      </w:r>
      <w:r w:rsidRPr="00CB2306">
        <w:rPr>
          <w:vertAlign w:val="superscript"/>
          <w:lang w:val="de-DE"/>
        </w:rPr>
        <w:t>1</w:t>
      </w:r>
      <w:r>
        <w:rPr>
          <w:lang w:val="de-DE"/>
        </w:rPr>
        <w:t xml:space="preserve">, </w:t>
      </w:r>
    </w:p>
    <w:p w14:paraId="0366B160" w14:textId="77777777" w:rsidR="00C9514F" w:rsidRPr="00C10BFA" w:rsidRDefault="003E7033" w:rsidP="003E7033">
      <w:pPr>
        <w:pStyle w:val="author"/>
        <w:spacing w:after="0"/>
      </w:pPr>
      <w:r>
        <w:rPr>
          <w:lang w:val="de-DE"/>
        </w:rPr>
        <w:t>Ryan S. Baker</w:t>
      </w:r>
      <w:r>
        <w:rPr>
          <w:vertAlign w:val="superscript"/>
          <w:lang w:val="de-DE"/>
        </w:rPr>
        <w:t>2</w:t>
      </w:r>
      <w:r>
        <w:rPr>
          <w:lang w:val="de-DE"/>
        </w:rPr>
        <w:t>, Luc Paquette</w:t>
      </w:r>
      <w:r>
        <w:rPr>
          <w:vertAlign w:val="superscript"/>
          <w:lang w:val="de-DE"/>
        </w:rPr>
        <w:t>2</w:t>
      </w:r>
      <w:r>
        <w:rPr>
          <w:lang w:val="de-DE"/>
        </w:rPr>
        <w:t>, Valerie J. Shute</w:t>
      </w:r>
      <w:r>
        <w:rPr>
          <w:vertAlign w:val="superscript"/>
          <w:lang w:val="de-DE"/>
        </w:rPr>
        <w:t>3</w:t>
      </w:r>
      <w:r>
        <w:rPr>
          <w:lang w:val="de-DE"/>
        </w:rPr>
        <w:t xml:space="preserve">, Matthew </w:t>
      </w:r>
      <w:r w:rsidR="005F08F2">
        <w:rPr>
          <w:lang w:val="de-DE"/>
        </w:rPr>
        <w:t>Ventura</w:t>
      </w:r>
      <w:r w:rsidR="005F08F2" w:rsidRPr="005F08F2">
        <w:rPr>
          <w:vertAlign w:val="superscript"/>
          <w:lang w:val="de-DE"/>
        </w:rPr>
        <w:t>3</w:t>
      </w:r>
    </w:p>
    <w:p w14:paraId="15AF6D05" w14:textId="77777777" w:rsidR="000E4EF4" w:rsidRPr="00CB2306" w:rsidRDefault="000E4EF4" w:rsidP="000E4EF4">
      <w:pPr>
        <w:pStyle w:val="authorinfo"/>
        <w:rPr>
          <w:lang w:val="de-DE"/>
        </w:rPr>
      </w:pPr>
    </w:p>
    <w:p w14:paraId="05F614B0" w14:textId="77777777" w:rsidR="003E7033" w:rsidRDefault="003E7033" w:rsidP="000C7DEC">
      <w:pPr>
        <w:pStyle w:val="authorinfo"/>
        <w:rPr>
          <w:lang w:val="de-DE"/>
        </w:rPr>
      </w:pPr>
      <w:r w:rsidRPr="009A3755">
        <w:rPr>
          <w:position w:val="6"/>
          <w:sz w:val="11"/>
          <w:szCs w:val="11"/>
          <w:lang w:val="de-DE"/>
        </w:rPr>
        <w:t>1</w:t>
      </w:r>
      <w:r w:rsidRPr="009A3755">
        <w:rPr>
          <w:lang w:val="de-DE"/>
        </w:rPr>
        <w:t xml:space="preserve"> </w:t>
      </w:r>
      <w:r>
        <w:rPr>
          <w:lang w:val="de-DE"/>
        </w:rPr>
        <w:t>Ateneo de Manila University, Quezon City, Philippines</w:t>
      </w:r>
    </w:p>
    <w:p w14:paraId="4C845C6F" w14:textId="77777777" w:rsidR="003E7033" w:rsidRDefault="003E7033" w:rsidP="003E7033">
      <w:pPr>
        <w:pStyle w:val="authorinfo"/>
        <w:rPr>
          <w:vertAlign w:val="superscript"/>
          <w:lang w:val="de-DE"/>
        </w:rPr>
      </w:pPr>
      <w:r w:rsidRPr="00DB01C6">
        <w:rPr>
          <w:vertAlign w:val="superscript"/>
          <w:lang w:val="de-DE"/>
        </w:rPr>
        <w:t>2</w:t>
      </w:r>
      <w:r>
        <w:rPr>
          <w:lang w:val="de-DE"/>
        </w:rPr>
        <w:t xml:space="preserve"> Teachers College, Columbia University, New York, NY, USA</w:t>
      </w:r>
    </w:p>
    <w:p w14:paraId="0CDAE685" w14:textId="77777777" w:rsidR="005F08F2" w:rsidRPr="003E7033" w:rsidRDefault="003E7033" w:rsidP="005F08F2">
      <w:pPr>
        <w:pStyle w:val="authorinfo"/>
        <w:rPr>
          <w:lang w:val="de-DE"/>
        </w:rPr>
      </w:pPr>
      <w:r>
        <w:rPr>
          <w:vertAlign w:val="superscript"/>
          <w:lang w:val="de-DE"/>
        </w:rPr>
        <w:t>3</w:t>
      </w:r>
      <w:r>
        <w:rPr>
          <w:lang w:val="de-DE"/>
        </w:rPr>
        <w:t xml:space="preserve"> Florida State University, Tallahassee, FL, USA</w:t>
      </w:r>
    </w:p>
    <w:p w14:paraId="44CA27C6" w14:textId="77777777" w:rsidR="005F08F2" w:rsidRPr="005F08F2" w:rsidRDefault="005F08F2" w:rsidP="005F08F2">
      <w:pPr>
        <w:pStyle w:val="email"/>
        <w:rPr>
          <w:rFonts w:ascii="Courier New" w:hAnsi="Courier New" w:cs="Courier New"/>
          <w:lang w:val="de-DE"/>
        </w:rPr>
      </w:pPr>
      <w:r w:rsidRPr="005F08F2">
        <w:rPr>
          <w:rFonts w:ascii="Courier New" w:hAnsi="Courier New" w:cs="Courier New"/>
          <w:lang w:val="de-DE"/>
        </w:rPr>
        <w:t>{mandres, mrodrigo}@ateneo.edu,</w:t>
      </w:r>
    </w:p>
    <w:p w14:paraId="1A64BE42" w14:textId="77777777" w:rsidR="005F08F2" w:rsidRPr="005F08F2" w:rsidRDefault="005F08F2" w:rsidP="005F08F2">
      <w:pPr>
        <w:pStyle w:val="email"/>
        <w:rPr>
          <w:rFonts w:ascii="Courier New" w:hAnsi="Courier New" w:cs="Courier New"/>
          <w:lang w:val="de-DE"/>
        </w:rPr>
      </w:pPr>
      <w:r w:rsidRPr="005F08F2">
        <w:rPr>
          <w:rFonts w:ascii="Courier New" w:hAnsi="Courier New" w:cs="Courier New"/>
          <w:lang w:val="de-DE"/>
        </w:rPr>
        <w:t>baker2@exchange.tc.columbia.edu, luc.paquette@gmail.com,</w:t>
      </w:r>
    </w:p>
    <w:p w14:paraId="25E3AFF6" w14:textId="77777777" w:rsidR="005F08F2" w:rsidRPr="00C248DC" w:rsidRDefault="005F08F2" w:rsidP="005F08F2">
      <w:pPr>
        <w:pStyle w:val="email"/>
        <w:rPr>
          <w:rFonts w:ascii="Courier New" w:hAnsi="Courier New" w:cs="Courier New"/>
          <w:sz w:val="16"/>
          <w:lang w:val="de-DE"/>
        </w:rPr>
      </w:pPr>
      <w:r w:rsidRPr="005F08F2">
        <w:rPr>
          <w:rFonts w:ascii="Courier New" w:hAnsi="Courier New" w:cs="Courier New"/>
          <w:lang w:val="de-DE"/>
        </w:rPr>
        <w:t>{vshute, mventura}@fsu.edu</w:t>
      </w:r>
    </w:p>
    <w:p w14:paraId="2AE23CDF" w14:textId="2F6CE76F" w:rsidR="000E4EF4" w:rsidRDefault="009B1D59" w:rsidP="000E4EF4">
      <w:pPr>
        <w:pStyle w:val="abstract"/>
      </w:pPr>
      <w:r>
        <w:rPr>
          <w:b/>
        </w:rPr>
        <w:t>Abstract.</w:t>
      </w:r>
      <w:r>
        <w:t xml:space="preserve"> </w:t>
      </w:r>
      <w:r w:rsidR="002B2579">
        <w:t>Physics Playground is</w:t>
      </w:r>
      <w:r w:rsidR="00172BC6">
        <w:t xml:space="preserve"> </w:t>
      </w:r>
      <w:r w:rsidR="009B5FFC">
        <w:t xml:space="preserve">an educational game that </w:t>
      </w:r>
      <w:r w:rsidR="00172BC6">
        <w:t>support</w:t>
      </w:r>
      <w:r w:rsidR="009B5FFC">
        <w:t>s</w:t>
      </w:r>
      <w:r w:rsidR="00172BC6">
        <w:t xml:space="preserve"> physics </w:t>
      </w:r>
      <w:r w:rsidR="009B5FFC">
        <w:t xml:space="preserve">learning. It accepts multiple solutions to </w:t>
      </w:r>
      <w:r w:rsidR="00BA1F0C">
        <w:t>most</w:t>
      </w:r>
      <w:r w:rsidR="009B5FFC">
        <w:t xml:space="preserve"> problem</w:t>
      </w:r>
      <w:r w:rsidR="00BA1F0C">
        <w:t>s</w:t>
      </w:r>
      <w:r w:rsidR="009B5FFC">
        <w:t xml:space="preserve"> and does not impose a stepwise progression through the content.</w:t>
      </w:r>
      <w:r w:rsidR="00BA1F0C">
        <w:t xml:space="preserve"> </w:t>
      </w:r>
      <w:r w:rsidR="009B5FFC">
        <w:t>Assessing student performance in an open-ended environment such as this is therefore challenging.</w:t>
      </w:r>
      <w:r w:rsidR="00BA1F0C">
        <w:t xml:space="preserve"> </w:t>
      </w:r>
      <w:r w:rsidR="00290436">
        <w:t>This study investig</w:t>
      </w:r>
      <w:r w:rsidR="00BB3B86">
        <w:t>at</w:t>
      </w:r>
      <w:r w:rsidR="00290436">
        <w:t xml:space="preserve">es </w:t>
      </w:r>
      <w:r w:rsidR="001D63A8" w:rsidRPr="001D63A8">
        <w:t xml:space="preserve">the relationships between </w:t>
      </w:r>
      <w:r w:rsidR="00172BC6">
        <w:t>student action sequences</w:t>
      </w:r>
      <w:r w:rsidR="001D63A8" w:rsidRPr="001D63A8">
        <w:t xml:space="preserve"> and affect among students using </w:t>
      </w:r>
      <w:r w:rsidR="005403BD">
        <w:t xml:space="preserve">Physics </w:t>
      </w:r>
      <w:r w:rsidR="001D63A8" w:rsidRPr="001D63A8">
        <w:t>Playgrou</w:t>
      </w:r>
      <w:r w:rsidR="001D63A8">
        <w:t>nd</w:t>
      </w:r>
      <w:r w:rsidR="00A8258F">
        <w:t>.</w:t>
      </w:r>
      <w:r w:rsidR="000E4EF4">
        <w:t xml:space="preserve"> </w:t>
      </w:r>
      <w:r w:rsidR="00AE2FE0">
        <w:t>T</w:t>
      </w:r>
      <w:r w:rsidR="00792EFF">
        <w:t xml:space="preserve">he study identified most frequently traversed student action sequences and investigated whether these sequences were indicative of either boredom or confusion. The study </w:t>
      </w:r>
      <w:r w:rsidR="00290436">
        <w:t xml:space="preserve">found </w:t>
      </w:r>
      <w:r w:rsidR="005403BD">
        <w:t xml:space="preserve">that </w:t>
      </w:r>
      <w:r w:rsidR="00211702">
        <w:t>boredom relate</w:t>
      </w:r>
      <w:r w:rsidR="005403BD">
        <w:t xml:space="preserve">s to </w:t>
      </w:r>
      <w:r w:rsidR="00211702">
        <w:t xml:space="preserve">poor performance outcomes, </w:t>
      </w:r>
      <w:r w:rsidR="00B1249E">
        <w:t xml:space="preserve">and confusion </w:t>
      </w:r>
      <w:r w:rsidR="005403BD">
        <w:t>relates to sub-o</w:t>
      </w:r>
      <w:r w:rsidR="00B1249E">
        <w:t xml:space="preserve">ptimal performance, as </w:t>
      </w:r>
      <w:r w:rsidR="00211702">
        <w:t xml:space="preserve">evidenced by the significant correlations between the </w:t>
      </w:r>
      <w:r w:rsidR="00B1249E">
        <w:t xml:space="preserve">respective </w:t>
      </w:r>
      <w:r w:rsidR="00211702">
        <w:t>affective state</w:t>
      </w:r>
      <w:r w:rsidR="00B1249E">
        <w:t>s,</w:t>
      </w:r>
      <w:r w:rsidR="00211702">
        <w:t xml:space="preserve"> and </w:t>
      </w:r>
      <w:r w:rsidR="00B1249E">
        <w:t xml:space="preserve">the </w:t>
      </w:r>
      <w:r w:rsidR="00792EFF">
        <w:t>student action sequences</w:t>
      </w:r>
      <w:r w:rsidR="00B1249E">
        <w:t>.</w:t>
      </w:r>
    </w:p>
    <w:p w14:paraId="4445FBF2" w14:textId="77777777" w:rsidR="000E4EF4" w:rsidRPr="000E4EF4" w:rsidRDefault="000E4EF4" w:rsidP="000E4EF4">
      <w:pPr>
        <w:pStyle w:val="abstract"/>
        <w:spacing w:before="120"/>
      </w:pPr>
      <w:r w:rsidRPr="000E4EF4">
        <w:rPr>
          <w:b/>
        </w:rPr>
        <w:t>Keywords</w:t>
      </w:r>
      <w:r>
        <w:rPr>
          <w:b/>
        </w:rPr>
        <w:t xml:space="preserve">: </w:t>
      </w:r>
      <w:r w:rsidR="00BE377E">
        <w:t>Affect modeling, action sequences</w:t>
      </w:r>
      <w:r w:rsidR="006455B3">
        <w:t xml:space="preserve">, boredom, confusion, </w:t>
      </w:r>
      <w:r w:rsidR="005403BD">
        <w:t xml:space="preserve">Physics </w:t>
      </w:r>
      <w:r w:rsidR="006455B3">
        <w:t>Playground</w:t>
      </w:r>
    </w:p>
    <w:p w14:paraId="4BDF50F3" w14:textId="77777777" w:rsidR="009B1D59" w:rsidRPr="009A3755" w:rsidRDefault="009B1D59" w:rsidP="009B1D59">
      <w:pPr>
        <w:pStyle w:val="heading10"/>
      </w:pPr>
      <w:r w:rsidRPr="009A3755">
        <w:t>1   Introduction</w:t>
      </w:r>
    </w:p>
    <w:p w14:paraId="5131528B" w14:textId="52B72BF4" w:rsidR="00AB66EE" w:rsidRPr="00AB66EE" w:rsidRDefault="00AC07D6" w:rsidP="009066B3">
      <w:pPr>
        <w:ind w:firstLine="0"/>
      </w:pPr>
      <w:r>
        <w:t>Physics Playground</w:t>
      </w:r>
      <w:r w:rsidR="002B2579">
        <w:t xml:space="preserve"> (PP)</w:t>
      </w:r>
      <w:r>
        <w:t xml:space="preserve"> is an educational game that immerses learners in a choice-rich environment for developing intuitive knowledge about simple machines. As the environment does not </w:t>
      </w:r>
      <w:r w:rsidR="009B5FFC">
        <w:t xml:space="preserve">impose </w:t>
      </w:r>
      <w:r>
        <w:t>a stepwise sequence on the learner</w:t>
      </w:r>
      <w:r w:rsidR="00F62981">
        <w:t>,</w:t>
      </w:r>
      <w:r>
        <w:t xml:space="preserve"> and because </w:t>
      </w:r>
      <w:r w:rsidR="002068C9">
        <w:t>some problems</w:t>
      </w:r>
      <w:r>
        <w:t xml:space="preserve"> can have multiple solutions, learners have </w:t>
      </w:r>
      <w:r w:rsidR="00F62981">
        <w:t>the</w:t>
      </w:r>
      <w:r>
        <w:t xml:space="preserve"> freedom to explore</w:t>
      </w:r>
      <w:r w:rsidR="009B5FFC">
        <w:t>, attempt to solve, or abort problems as they wish</w:t>
      </w:r>
      <w:r>
        <w:t>.</w:t>
      </w:r>
      <w:r w:rsidR="0032214E">
        <w:t xml:space="preserve"> </w:t>
      </w:r>
      <w:r>
        <w:t xml:space="preserve">The challenge </w:t>
      </w:r>
      <w:r w:rsidR="002A7988">
        <w:t xml:space="preserve">these types of environments impose on </w:t>
      </w:r>
      <w:r>
        <w:t>educators</w:t>
      </w:r>
      <w:r w:rsidR="00FB0E53">
        <w:t xml:space="preserve"> </w:t>
      </w:r>
      <w:r>
        <w:t xml:space="preserve">is that of assessment. </w:t>
      </w:r>
      <w:r w:rsidR="002A7988">
        <w:t xml:space="preserve">Within </w:t>
      </w:r>
      <w:r w:rsidR="005D5932">
        <w:t xml:space="preserve">such </w:t>
      </w:r>
      <w:r w:rsidR="002068C9">
        <w:t xml:space="preserve">an </w:t>
      </w:r>
      <w:r w:rsidR="005D5932">
        <w:t xml:space="preserve">open-ended </w:t>
      </w:r>
      <w:r w:rsidR="002A7988">
        <w:t>system</w:t>
      </w:r>
      <w:r w:rsidR="005D5932">
        <w:t>, how do educators and researchers assess learning as well as the quality of the learning process?</w:t>
      </w:r>
    </w:p>
    <w:p w14:paraId="6C387749" w14:textId="0F61FC62" w:rsidR="005D5932" w:rsidRDefault="005D5932" w:rsidP="001D63A8">
      <w:pPr>
        <w:pStyle w:val="p1a"/>
        <w:ind w:firstLine="227"/>
      </w:pPr>
      <w:r>
        <w:t xml:space="preserve">This study focuses its attention on two main phenomena:  student learning and student affect. </w:t>
      </w:r>
      <w:r w:rsidR="002A7988" w:rsidRPr="002A7988">
        <w:t xml:space="preserve">Student learning within PP refers to how well a player can understand the concepts surrounding four simple machines </w:t>
      </w:r>
      <w:r w:rsidR="00C054F2">
        <w:t>through</w:t>
      </w:r>
      <w:r w:rsidR="00C054F2" w:rsidRPr="002A7988">
        <w:t xml:space="preserve"> </w:t>
      </w:r>
      <w:r w:rsidR="002A7988" w:rsidRPr="002A7988">
        <w:t>their efficient execution in attempting to solve levels</w:t>
      </w:r>
      <w:r w:rsidR="00CC2C8C">
        <w:t>, as evidenced by the badges they earn</w:t>
      </w:r>
      <w:r w:rsidR="002A7988" w:rsidRPr="002A7988">
        <w:t>.</w:t>
      </w:r>
    </w:p>
    <w:p w14:paraId="4D450EB9" w14:textId="603D1D92" w:rsidR="001D63A8" w:rsidRDefault="005D5932" w:rsidP="001D63A8">
      <w:pPr>
        <w:pStyle w:val="p1a"/>
        <w:ind w:firstLine="227"/>
      </w:pPr>
      <w:r>
        <w:lastRenderedPageBreak/>
        <w:t xml:space="preserve">Student affect refers to </w:t>
      </w:r>
      <w:r w:rsidR="00F62981">
        <w:t>experiences of feelings or emotions</w:t>
      </w:r>
      <w:r>
        <w:t xml:space="preserve">. In this study, the affective states of interest are </w:t>
      </w:r>
      <w:r w:rsidR="001D63A8">
        <w:t>confusion and boredom</w:t>
      </w:r>
      <w:r w:rsidR="009066B3">
        <w:t>,</w:t>
      </w:r>
      <w:r>
        <w:t xml:space="preserve"> as prior studies </w:t>
      </w:r>
      <w:r w:rsidR="006B773E">
        <w:t xml:space="preserve">have shown </w:t>
      </w:r>
      <w:r>
        <w:t xml:space="preserve">them </w:t>
      </w:r>
      <w:r w:rsidR="00C07238">
        <w:t>to relate significantly with learning</w:t>
      </w:r>
      <w:r w:rsidR="00E10D73">
        <w:t xml:space="preserve"> </w:t>
      </w:r>
      <w:r w:rsidR="00E57D54">
        <w:t>[</w:t>
      </w:r>
      <w:r w:rsidR="003E4768">
        <w:fldChar w:fldCharType="begin"/>
      </w:r>
      <w:r w:rsidR="00AE2FE0">
        <w:instrText xml:space="preserve"> REF _Ref288733912 \r \h </w:instrText>
      </w:r>
      <w:r w:rsidR="003E4768">
        <w:fldChar w:fldCharType="separate"/>
      </w:r>
      <w:r w:rsidR="004E19EC">
        <w:t>4</w:t>
      </w:r>
      <w:r w:rsidR="003E4768">
        <w:fldChar w:fldCharType="end"/>
      </w:r>
      <w:r w:rsidR="00E57D54">
        <w:t xml:space="preserve">, </w:t>
      </w:r>
      <w:r w:rsidR="003E4768">
        <w:fldChar w:fldCharType="begin"/>
      </w:r>
      <w:r w:rsidR="00AE2FE0">
        <w:instrText xml:space="preserve"> REF _Ref288733928 \r \h </w:instrText>
      </w:r>
      <w:r w:rsidR="003E4768">
        <w:fldChar w:fldCharType="separate"/>
      </w:r>
      <w:r w:rsidR="004E19EC">
        <w:t>10</w:t>
      </w:r>
      <w:r w:rsidR="003E4768">
        <w:fldChar w:fldCharType="end"/>
      </w:r>
      <w:r w:rsidR="00E57D54">
        <w:t>]</w:t>
      </w:r>
      <w:r w:rsidR="001D63A8">
        <w:t xml:space="preserve">. Confusion is uncertainty about what to do next </w:t>
      </w:r>
      <w:r w:rsidR="007745FC">
        <w:t>[</w:t>
      </w:r>
      <w:r w:rsidR="003E4768">
        <w:fldChar w:fldCharType="begin"/>
      </w:r>
      <w:r w:rsidR="00AE2FE0">
        <w:instrText xml:space="preserve"> REF _Ref288733946 \r \h </w:instrText>
      </w:r>
      <w:r w:rsidR="003E4768">
        <w:fldChar w:fldCharType="separate"/>
      </w:r>
      <w:r w:rsidR="002068C9">
        <w:t>5</w:t>
      </w:r>
      <w:r w:rsidR="003E4768">
        <w:fldChar w:fldCharType="end"/>
      </w:r>
      <w:r w:rsidR="007745FC">
        <w:t>]</w:t>
      </w:r>
      <w:r w:rsidR="009548F2">
        <w:t>.</w:t>
      </w:r>
      <w:r w:rsidR="001D63A8">
        <w:t xml:space="preserve"> </w:t>
      </w:r>
      <w:r w:rsidR="00E42997">
        <w:t xml:space="preserve">Confusion </w:t>
      </w:r>
      <w:r w:rsidR="001D63A8">
        <w:t xml:space="preserve">is </w:t>
      </w:r>
      <w:r w:rsidR="00E42997">
        <w:t xml:space="preserve">scientifically </w:t>
      </w:r>
      <w:r w:rsidR="001D63A8">
        <w:t>interesting because it has a positive and negative dimension</w:t>
      </w:r>
      <w:r w:rsidR="009548F2">
        <w:t>,</w:t>
      </w:r>
      <w:r w:rsidR="001D63A8">
        <w:t xml:space="preserve"> wherein it either spurs learners to exert effort deliberately and purposefully to resolve cognitive conflict, or leads learners to become frustrated or bored, and may lead to disengagement from the learning task altogether</w:t>
      </w:r>
      <w:r w:rsidR="009548F2">
        <w:t xml:space="preserve"> </w:t>
      </w:r>
      <w:r w:rsidR="007745FC">
        <w:t>[</w:t>
      </w:r>
      <w:r w:rsidR="003E4768">
        <w:fldChar w:fldCharType="begin"/>
      </w:r>
      <w:r w:rsidR="00AE2FE0">
        <w:instrText xml:space="preserve"> REF _Ref288733955 \r \h </w:instrText>
      </w:r>
      <w:r w:rsidR="003E4768">
        <w:fldChar w:fldCharType="separate"/>
      </w:r>
      <w:r w:rsidR="004E19EC">
        <w:t>7</w:t>
      </w:r>
      <w:r w:rsidR="003E4768">
        <w:fldChar w:fldCharType="end"/>
      </w:r>
      <w:r w:rsidR="007745FC">
        <w:t>]</w:t>
      </w:r>
      <w:r w:rsidR="009548F2">
        <w:t>.</w:t>
      </w:r>
    </w:p>
    <w:p w14:paraId="6D52BBED" w14:textId="214D811C" w:rsidR="001D63A8" w:rsidRDefault="001D63A8" w:rsidP="007F4EC7">
      <w:pPr>
        <w:pStyle w:val="p1a"/>
        <w:ind w:firstLine="227"/>
      </w:pPr>
      <w:r>
        <w:t>Boredom, on the other hand,</w:t>
      </w:r>
      <w:r w:rsidR="00BB3B86">
        <w:t xml:space="preserve"> is</w:t>
      </w:r>
      <w:r>
        <w:t xml:space="preserve"> an unpleasant, transient affective state in which the individual feels a pervasive lack of interest in and difficulty concentrating on the current activity</w:t>
      </w:r>
      <w:r w:rsidR="00290436">
        <w:t xml:space="preserve"> </w:t>
      </w:r>
      <w:r w:rsidR="007745FC">
        <w:t>[</w:t>
      </w:r>
      <w:r w:rsidR="003E4768">
        <w:fldChar w:fldCharType="begin"/>
      </w:r>
      <w:r w:rsidR="00AE2FE0">
        <w:instrText xml:space="preserve"> REF _Ref288733970 \r \h </w:instrText>
      </w:r>
      <w:r w:rsidR="003E4768">
        <w:fldChar w:fldCharType="separate"/>
      </w:r>
      <w:r w:rsidR="004E19EC">
        <w:t>8</w:t>
      </w:r>
      <w:r w:rsidR="003E4768">
        <w:fldChar w:fldCharType="end"/>
      </w:r>
      <w:r w:rsidR="007745FC">
        <w:t>]</w:t>
      </w:r>
      <w:r>
        <w:t xml:space="preserve">. </w:t>
      </w:r>
      <w:r w:rsidR="005403BD">
        <w:t xml:space="preserve">Boredom </w:t>
      </w:r>
      <w:r>
        <w:t xml:space="preserve">has been a topic of interest because of the negative effects usually associated with it, </w:t>
      </w:r>
      <w:r w:rsidR="005403BD">
        <w:t xml:space="preserve">such as </w:t>
      </w:r>
      <w:r w:rsidR="00506FBF">
        <w:t xml:space="preserve">poor </w:t>
      </w:r>
      <w:r w:rsidR="000910C2">
        <w:t>long-term learning</w:t>
      </w:r>
      <w:r>
        <w:t xml:space="preserve"> </w:t>
      </w:r>
      <w:r w:rsidR="005403BD">
        <w:t>outcomes</w:t>
      </w:r>
      <w:r w:rsidR="000910C2">
        <w:t xml:space="preserve"> when students are not provided any scaffolding </w:t>
      </w:r>
      <w:r w:rsidR="007745FC">
        <w:t>[</w:t>
      </w:r>
      <w:r w:rsidR="003E4768">
        <w:fldChar w:fldCharType="begin"/>
      </w:r>
      <w:r w:rsidR="00AE2FE0">
        <w:instrText xml:space="preserve"> REF _Ref288733928 \r \h </w:instrText>
      </w:r>
      <w:r w:rsidR="003E4768">
        <w:fldChar w:fldCharType="separate"/>
      </w:r>
      <w:r w:rsidR="004E19EC">
        <w:t>10</w:t>
      </w:r>
      <w:r w:rsidR="003E4768">
        <w:fldChar w:fldCharType="end"/>
      </w:r>
      <w:r w:rsidR="007745FC">
        <w:t>]</w:t>
      </w:r>
      <w:r w:rsidR="005403BD">
        <w:t xml:space="preserve"> </w:t>
      </w:r>
      <w:r>
        <w:t xml:space="preserve">and </w:t>
      </w:r>
      <w:r w:rsidR="00BE377E">
        <w:t xml:space="preserve">its being characteristic of less successful students </w:t>
      </w:r>
      <w:r w:rsidR="005C6A12">
        <w:t>[</w:t>
      </w:r>
      <w:r w:rsidR="003E4768">
        <w:fldChar w:fldCharType="begin"/>
      </w:r>
      <w:r w:rsidR="00AE2FE0">
        <w:instrText xml:space="preserve"> REF _Ref288733997 \r \h </w:instrText>
      </w:r>
      <w:r w:rsidR="003E4768">
        <w:fldChar w:fldCharType="separate"/>
      </w:r>
      <w:r w:rsidR="004E19EC">
        <w:t>11</w:t>
      </w:r>
      <w:r w:rsidR="003E4768">
        <w:fldChar w:fldCharType="end"/>
      </w:r>
      <w:r w:rsidR="007745FC">
        <w:t>]</w:t>
      </w:r>
      <w:r w:rsidR="00BE377E">
        <w:t>.</w:t>
      </w:r>
      <w:r w:rsidR="00BE377E" w:rsidDel="00BE377E">
        <w:t xml:space="preserve"> </w:t>
      </w:r>
    </w:p>
    <w:p w14:paraId="05E526D8" w14:textId="45804F99" w:rsidR="002068C9" w:rsidRDefault="002068C9" w:rsidP="009066B3">
      <w:r>
        <w:t xml:space="preserve">A study conducted by </w:t>
      </w:r>
      <w:proofErr w:type="spellStart"/>
      <w:r>
        <w:t>Biswas</w:t>
      </w:r>
      <w:proofErr w:type="spellEnd"/>
      <w:r>
        <w:t xml:space="preserve">, </w:t>
      </w:r>
      <w:proofErr w:type="spellStart"/>
      <w:r>
        <w:t>Kinnebrew</w:t>
      </w:r>
      <w:proofErr w:type="spellEnd"/>
      <w:r>
        <w:t xml:space="preserve">, and </w:t>
      </w:r>
      <w:proofErr w:type="spellStart"/>
      <w:r>
        <w:t>Segedy</w:t>
      </w:r>
      <w:proofErr w:type="spellEnd"/>
      <w:r>
        <w:t xml:space="preserve"> [</w:t>
      </w:r>
      <w:r>
        <w:fldChar w:fldCharType="begin"/>
      </w:r>
      <w:r>
        <w:instrText xml:space="preserve"> REF _Ref292620370 \r \h </w:instrText>
      </w:r>
      <w:r>
        <w:fldChar w:fldCharType="separate"/>
      </w:r>
      <w:r w:rsidR="004E19EC">
        <w:t>2</w:t>
      </w:r>
      <w:r>
        <w:fldChar w:fldCharType="end"/>
      </w:r>
      <w:r>
        <w:t xml:space="preserve">] investigated frequently traversed sequences of student actions using bottom-up, data-driven sequence mining, the results of which contributed to the development of performance- and behavior-based learner models. The analyses in this paper seek to perform similar sequence-mining methods in order to find student sequences that inform either </w:t>
      </w:r>
      <w:r>
        <w:t>of the affective states of interest</w:t>
      </w:r>
      <w:r>
        <w:t>.</w:t>
      </w:r>
    </w:p>
    <w:p w14:paraId="1A006272" w14:textId="430FF29A" w:rsidR="002B6423" w:rsidRDefault="002B6423" w:rsidP="009066B3">
      <w:r>
        <w:t>T</w:t>
      </w:r>
      <w:r w:rsidR="00AB66EE">
        <w:t>his study conducted data-driven sequence-mining analyses to</w:t>
      </w:r>
      <w:r>
        <w:t xml:space="preserve"> answer the following research questions:</w:t>
      </w:r>
    </w:p>
    <w:p w14:paraId="1BCD5FE5" w14:textId="77777777" w:rsidR="002B6423" w:rsidRDefault="002B6423" w:rsidP="002B6423">
      <w:pPr>
        <w:pStyle w:val="ListParagraph"/>
        <w:numPr>
          <w:ilvl w:val="0"/>
          <w:numId w:val="10"/>
        </w:numPr>
        <w:ind w:left="630"/>
      </w:pPr>
      <w:r>
        <w:t xml:space="preserve">What were the </w:t>
      </w:r>
      <w:r w:rsidR="00AB66EE">
        <w:t>frequently traversed student action sequences</w:t>
      </w:r>
      <w:r>
        <w:t xml:space="preserve"> among students playing Physics Playground?</w:t>
      </w:r>
    </w:p>
    <w:p w14:paraId="0D9B19F9" w14:textId="562C5F53" w:rsidR="004B5283" w:rsidRDefault="002B6423" w:rsidP="002068C9">
      <w:pPr>
        <w:pStyle w:val="ListParagraph"/>
        <w:numPr>
          <w:ilvl w:val="0"/>
          <w:numId w:val="10"/>
        </w:numPr>
        <w:ind w:left="630"/>
      </w:pPr>
      <w:r>
        <w:t>Are</w:t>
      </w:r>
      <w:r w:rsidR="00AB66EE">
        <w:t xml:space="preserve"> these</w:t>
      </w:r>
      <w:r>
        <w:t xml:space="preserve"> action</w:t>
      </w:r>
      <w:r w:rsidR="00AB66EE">
        <w:t xml:space="preserve"> sequences indicative of either boredom or confusion</w:t>
      </w:r>
      <w:r>
        <w:t>?</w:t>
      </w:r>
      <w:r w:rsidR="009066B3">
        <w:t xml:space="preserve"> </w:t>
      </w:r>
    </w:p>
    <w:p w14:paraId="4D34FA43" w14:textId="355ECBCA" w:rsidR="00C951AE" w:rsidRDefault="001D63A8" w:rsidP="002B6423">
      <w:r>
        <w:t xml:space="preserve">The </w:t>
      </w:r>
      <w:r w:rsidR="00DD625F">
        <w:t xml:space="preserve">analyses in </w:t>
      </w:r>
      <w:r>
        <w:t xml:space="preserve">this study </w:t>
      </w:r>
      <w:r w:rsidR="00DD625F">
        <w:t xml:space="preserve">are </w:t>
      </w:r>
      <w:r>
        <w:t xml:space="preserve">limited to the data collected during gameplay of </w:t>
      </w:r>
      <w:r w:rsidR="005403BD">
        <w:t xml:space="preserve">Physics </w:t>
      </w:r>
      <w:r>
        <w:t xml:space="preserve">Playground from six data gathering sessions conducted at </w:t>
      </w:r>
      <w:r w:rsidR="00AB66EE">
        <w:t>a public school</w:t>
      </w:r>
      <w:r>
        <w:t xml:space="preserve"> in Quezon City in 2013. Data is limited to the interaction logs generated by </w:t>
      </w:r>
      <w:r w:rsidR="00CE2CBD">
        <w:t xml:space="preserve">the game as well as </w:t>
      </w:r>
      <w:r>
        <w:t xml:space="preserve">human observation </w:t>
      </w:r>
      <w:r w:rsidR="006B773E">
        <w:t xml:space="preserve">of affect </w:t>
      </w:r>
      <w:r>
        <w:t xml:space="preserve">as logged by two </w:t>
      </w:r>
      <w:r w:rsidR="00290436">
        <w:t xml:space="preserve">coders </w:t>
      </w:r>
      <w:r>
        <w:t xml:space="preserve">trained </w:t>
      </w:r>
      <w:r w:rsidR="00290436">
        <w:t xml:space="preserve">in the </w:t>
      </w:r>
      <w:r>
        <w:t>Baker</w:t>
      </w:r>
      <w:r w:rsidR="00506FBF">
        <w:t>-</w:t>
      </w:r>
      <w:r>
        <w:t>Rodrigo</w:t>
      </w:r>
      <w:r w:rsidR="00506FBF">
        <w:t>-</w:t>
      </w:r>
      <w:r>
        <w:t>Ocumpaugh Monitoring Protocol</w:t>
      </w:r>
      <w:r w:rsidR="00B87AA2">
        <w:t xml:space="preserve"> </w:t>
      </w:r>
      <w:r w:rsidR="005C6A12">
        <w:t>[</w:t>
      </w:r>
      <w:r w:rsidR="003E4768">
        <w:fldChar w:fldCharType="begin"/>
      </w:r>
      <w:r w:rsidR="00AE2FE0">
        <w:instrText xml:space="preserve"> REF _Ref288734016 \r \h </w:instrText>
      </w:r>
      <w:r w:rsidR="003E4768">
        <w:fldChar w:fldCharType="separate"/>
      </w:r>
      <w:r w:rsidR="004E19EC">
        <w:t>9</w:t>
      </w:r>
      <w:r w:rsidR="003E4768">
        <w:fldChar w:fldCharType="end"/>
      </w:r>
      <w:r w:rsidR="005C6A12">
        <w:t>]</w:t>
      </w:r>
      <w:r>
        <w:t>.</w:t>
      </w:r>
    </w:p>
    <w:p w14:paraId="0471C1F2" w14:textId="77777777" w:rsidR="001D63A8" w:rsidRPr="001D63A8" w:rsidRDefault="007131A7" w:rsidP="001D63A8">
      <w:pPr>
        <w:pStyle w:val="heading10"/>
      </w:pPr>
      <w:r>
        <w:t>2</w:t>
      </w:r>
      <w:r w:rsidR="009B1D59" w:rsidRPr="009A3755">
        <w:t xml:space="preserve">   </w:t>
      </w:r>
      <w:r w:rsidR="001D63A8">
        <w:t>Methodology</w:t>
      </w:r>
    </w:p>
    <w:p w14:paraId="1B2A2015" w14:textId="77777777" w:rsidR="001D63A8" w:rsidRPr="009A3755" w:rsidRDefault="001D63A8" w:rsidP="001D63A8">
      <w:pPr>
        <w:pStyle w:val="heading20"/>
      </w:pPr>
      <w:r>
        <w:t>2</w:t>
      </w:r>
      <w:r w:rsidRPr="009A3755">
        <w:t xml:space="preserve">.1   </w:t>
      </w:r>
      <w:r>
        <w:t>Participant Profile</w:t>
      </w:r>
      <w:r w:rsidRPr="009A3755">
        <w:t xml:space="preserve"> </w:t>
      </w:r>
    </w:p>
    <w:p w14:paraId="3A1D7DD3" w14:textId="1246DF2B" w:rsidR="001D63A8" w:rsidRPr="001D63A8" w:rsidRDefault="001D63A8" w:rsidP="001D63A8">
      <w:pPr>
        <w:pStyle w:val="p1a"/>
      </w:pPr>
      <w:r w:rsidRPr="001D63A8">
        <w:t xml:space="preserve">Data </w:t>
      </w:r>
      <w:r w:rsidR="00CE2CBD" w:rsidRPr="001D63A8">
        <w:t>w</w:t>
      </w:r>
      <w:r w:rsidR="00CE2CBD">
        <w:t>ere</w:t>
      </w:r>
      <w:r w:rsidR="00CE2CBD" w:rsidRPr="001D63A8">
        <w:t xml:space="preserve"> </w:t>
      </w:r>
      <w:r w:rsidRPr="001D63A8">
        <w:t xml:space="preserve">gathered from 60 eighth grade public school students in Quezon City, Philippines. Students ranged in age from 13 to 16. </w:t>
      </w:r>
      <w:r w:rsidR="003C14A8" w:rsidRPr="001D63A8">
        <w:t>Of the participants, 31% were male and 69% were female.</w:t>
      </w:r>
      <w:r w:rsidR="003C14A8">
        <w:t xml:space="preserve"> </w:t>
      </w:r>
      <w:r w:rsidRPr="001D63A8">
        <w:t xml:space="preserve">As of 2011, the school had 1,976 students, predominantly Filipino, and 66 teachers. </w:t>
      </w:r>
      <w:r w:rsidR="003C14A8">
        <w:t>P</w:t>
      </w:r>
      <w:r w:rsidR="003C14A8" w:rsidRPr="001D63A8">
        <w:t xml:space="preserve">articipants </w:t>
      </w:r>
      <w:r w:rsidR="004B5283">
        <w:t>had an</w:t>
      </w:r>
      <w:r w:rsidR="003C14A8" w:rsidRPr="001D63A8">
        <w:t xml:space="preserve"> </w:t>
      </w:r>
      <w:r w:rsidRPr="001D63A8">
        <w:t xml:space="preserve">average grade </w:t>
      </w:r>
      <w:r w:rsidR="004B5283">
        <w:t>on assignments of</w:t>
      </w:r>
      <w:r w:rsidRPr="001D63A8">
        <w:t xml:space="preserve"> B</w:t>
      </w:r>
      <w:r w:rsidR="004B5283">
        <w:t xml:space="preserve"> (on a scale from A to F)</w:t>
      </w:r>
      <w:r w:rsidRPr="001D63A8">
        <w:t>.</w:t>
      </w:r>
    </w:p>
    <w:p w14:paraId="1870EA56" w14:textId="77777777" w:rsidR="001D63A8" w:rsidRPr="009A3755" w:rsidRDefault="001D63A8" w:rsidP="001D63A8">
      <w:pPr>
        <w:pStyle w:val="heading20"/>
      </w:pPr>
      <w:r>
        <w:lastRenderedPageBreak/>
        <w:t>2.2</w:t>
      </w:r>
      <w:r w:rsidRPr="009A3755">
        <w:t xml:space="preserve">   </w:t>
      </w:r>
      <w:r w:rsidR="00CE2CBD">
        <w:t xml:space="preserve">Physics </w:t>
      </w:r>
      <w:r w:rsidR="006455B3">
        <w:t>Playground</w:t>
      </w:r>
      <w:r w:rsidRPr="009A3755">
        <w:t xml:space="preserve"> </w:t>
      </w:r>
    </w:p>
    <w:p w14:paraId="3EDAA12F" w14:textId="10BCDC34" w:rsidR="00BA1F0C" w:rsidRDefault="00CE2CBD" w:rsidP="00F25865">
      <w:pPr>
        <w:ind w:firstLine="0"/>
      </w:pPr>
      <w:r>
        <w:t>P</w:t>
      </w:r>
      <w:r w:rsidR="00F25865">
        <w:t xml:space="preserve">hysics </w:t>
      </w:r>
      <w:r>
        <w:t>P</w:t>
      </w:r>
      <w:r w:rsidR="00F25865">
        <w:t>layground (PP)</w:t>
      </w:r>
      <w:r w:rsidR="00BA1F0C" w:rsidRPr="00BA1F0C">
        <w:t xml:space="preserve"> </w:t>
      </w:r>
      <w:r w:rsidR="00BA1F0C">
        <w:t>is a</w:t>
      </w:r>
      <w:r w:rsidR="00DD625F">
        <w:t>n</w:t>
      </w:r>
      <w:r w:rsidR="00BA1F0C">
        <w:t xml:space="preserve"> </w:t>
      </w:r>
      <w:r w:rsidR="00DD625F">
        <w:t>open-ended learning environment</w:t>
      </w:r>
      <w:r w:rsidR="00BA1F0C">
        <w:t xml:space="preserve"> for physics that was designed to help secondary school students understand qualitative physics. Qualitative physics is a nonverbal, conceptual understanding of how the physical world operates [</w:t>
      </w:r>
      <w:r w:rsidR="003E4768">
        <w:fldChar w:fldCharType="begin"/>
      </w:r>
      <w:r w:rsidR="00AE2FE0">
        <w:instrText xml:space="preserve"> REF _Ref288734030 \r \h </w:instrText>
      </w:r>
      <w:r w:rsidR="003E4768">
        <w:fldChar w:fldCharType="separate"/>
      </w:r>
      <w:r w:rsidR="004E19EC">
        <w:t>12</w:t>
      </w:r>
      <w:r w:rsidR="003E4768">
        <w:fldChar w:fldCharType="end"/>
      </w:r>
      <w:r w:rsidR="00BA1F0C">
        <w:t>].</w:t>
      </w:r>
      <w:r>
        <w:t xml:space="preserve"> </w:t>
      </w:r>
    </w:p>
    <w:p w14:paraId="64666DE6" w14:textId="385865DF" w:rsidR="0071558C" w:rsidRPr="00A8258F" w:rsidRDefault="00BA1F0C" w:rsidP="006F5336">
      <w:r>
        <w:t xml:space="preserve">PP </w:t>
      </w:r>
      <w:r w:rsidR="00290436">
        <w:t xml:space="preserve">has 74 levels that </w:t>
      </w:r>
      <w:r w:rsidR="006455B3">
        <w:t>require the player to guide a green ball to a red balloon. An example level is shown in Fig. 1.</w:t>
      </w:r>
      <w:r w:rsidR="00290436">
        <w:t xml:space="preserve"> The player achieves this goal by drawing </w:t>
      </w:r>
      <w:r w:rsidR="008C14C3">
        <w:t>agents (</w:t>
      </w:r>
      <w:r w:rsidR="00290436">
        <w:t>ramps, pendulums, springboards, or levers</w:t>
      </w:r>
      <w:r w:rsidR="008C14C3">
        <w:t>)</w:t>
      </w:r>
      <w:r w:rsidR="00490E1E">
        <w:t xml:space="preserve"> </w:t>
      </w:r>
      <w:r w:rsidR="00290436">
        <w:t>or by nudging the ball to the left or right by clicking on it.</w:t>
      </w:r>
      <w:r w:rsidR="006455B3">
        <w:t xml:space="preserve"> </w:t>
      </w:r>
      <w:r w:rsidR="00290436">
        <w:t xml:space="preserve">The moment the objects are drawn, they behave according to the law of </w:t>
      </w:r>
      <w:r w:rsidR="006455B3">
        <w:t>gravity and Newton</w:t>
      </w:r>
      <w:r w:rsidR="0071558C">
        <w:t>’</w:t>
      </w:r>
      <w:r w:rsidR="0071315D">
        <w:t xml:space="preserve">s </w:t>
      </w:r>
      <w:r w:rsidR="00053000">
        <w:t xml:space="preserve">3 </w:t>
      </w:r>
      <w:r w:rsidR="0071315D">
        <w:t>laws of motion</w:t>
      </w:r>
      <w:r w:rsidR="00541C68">
        <w:t xml:space="preserve"> </w:t>
      </w:r>
      <w:r w:rsidR="005C6A12">
        <w:t>[</w:t>
      </w:r>
      <w:r w:rsidR="003E4768">
        <w:fldChar w:fldCharType="begin"/>
      </w:r>
      <w:r w:rsidR="00AE2FE0">
        <w:instrText xml:space="preserve"> REF _Ref288734030 \r \h </w:instrText>
      </w:r>
      <w:r w:rsidR="003E4768">
        <w:fldChar w:fldCharType="separate"/>
      </w:r>
      <w:r w:rsidR="004E19EC">
        <w:t>12</w:t>
      </w:r>
      <w:r w:rsidR="003E4768">
        <w:fldChar w:fldCharType="end"/>
      </w:r>
      <w:r w:rsidR="005C6A12">
        <w:t>]</w:t>
      </w:r>
      <w:r w:rsidR="0071315D">
        <w:t>.</w:t>
      </w:r>
      <w:r w:rsidR="004B5283" w:rsidRPr="00A8258F" w:rsidDel="004B5283">
        <w:t xml:space="preserve"> </w:t>
      </w:r>
    </w:p>
    <w:p w14:paraId="48930AFD" w14:textId="75422C08" w:rsidR="0071558C" w:rsidRDefault="00F6015E" w:rsidP="006F5336">
      <w:pPr>
        <w:spacing w:before="220" w:after="220"/>
        <w:jc w:val="center"/>
      </w:pPr>
      <w:r>
        <w:rPr>
          <w:noProof/>
          <w:lang w:eastAsia="en-US"/>
        </w:rPr>
        <w:drawing>
          <wp:inline distT="0" distB="0" distL="0" distR="0" wp14:anchorId="136223B1" wp14:editId="565AD249">
            <wp:extent cx="2036030" cy="1500884"/>
            <wp:effectExtent l="0" t="0" r="0" b="0"/>
            <wp:docPr id="1" name="Picture 1" descr="np-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level"/>
                    <pic:cNvPicPr>
                      <a:picLocks noChangeAspect="1" noChangeArrowheads="1"/>
                    </pic:cNvPicPr>
                  </pic:nvPicPr>
                  <pic:blipFill>
                    <a:blip r:embed="rId9"/>
                    <a:srcRect/>
                    <a:stretch>
                      <a:fillRect/>
                    </a:stretch>
                  </pic:blipFill>
                  <pic:spPr bwMode="auto">
                    <a:xfrm>
                      <a:off x="0" y="0"/>
                      <a:ext cx="2038803" cy="1502928"/>
                    </a:xfrm>
                    <a:prstGeom prst="rect">
                      <a:avLst/>
                    </a:prstGeom>
                    <a:noFill/>
                    <a:ln w="9525">
                      <a:noFill/>
                      <a:miter lim="800000"/>
                      <a:headEnd/>
                      <a:tailEnd/>
                    </a:ln>
                  </pic:spPr>
                </pic:pic>
              </a:graphicData>
            </a:graphic>
          </wp:inline>
        </w:drawing>
      </w:r>
    </w:p>
    <w:p w14:paraId="4C195E1B" w14:textId="0692E5C2" w:rsidR="0071558C" w:rsidRPr="0071558C" w:rsidRDefault="0071558C" w:rsidP="006F5336">
      <w:pPr>
        <w:spacing w:before="120" w:after="240"/>
        <w:ind w:firstLine="230"/>
        <w:jc w:val="center"/>
        <w:rPr>
          <w:sz w:val="18"/>
          <w:szCs w:val="18"/>
        </w:rPr>
      </w:pPr>
      <w:r w:rsidRPr="0071558C">
        <w:rPr>
          <w:b/>
          <w:sz w:val="18"/>
          <w:szCs w:val="18"/>
        </w:rPr>
        <w:t xml:space="preserve">Fig. </w:t>
      </w:r>
      <w:r w:rsidR="003E4768" w:rsidRPr="0071558C">
        <w:rPr>
          <w:b/>
          <w:sz w:val="18"/>
          <w:szCs w:val="18"/>
        </w:rPr>
        <w:fldChar w:fldCharType="begin"/>
      </w:r>
      <w:r w:rsidRPr="0071558C">
        <w:rPr>
          <w:b/>
          <w:sz w:val="18"/>
          <w:szCs w:val="18"/>
        </w:rPr>
        <w:instrText xml:space="preserve"> SEQ Fig. \n </w:instrText>
      </w:r>
      <w:r w:rsidR="003E4768" w:rsidRPr="0071558C">
        <w:rPr>
          <w:b/>
          <w:sz w:val="18"/>
          <w:szCs w:val="18"/>
        </w:rPr>
        <w:fldChar w:fldCharType="separate"/>
      </w:r>
      <w:r w:rsidR="004E19EC">
        <w:rPr>
          <w:b/>
          <w:noProof/>
          <w:sz w:val="18"/>
          <w:szCs w:val="18"/>
        </w:rPr>
        <w:t>1</w:t>
      </w:r>
      <w:r w:rsidR="003E4768" w:rsidRPr="0071558C">
        <w:rPr>
          <w:b/>
          <w:sz w:val="18"/>
          <w:szCs w:val="18"/>
        </w:rPr>
        <w:fldChar w:fldCharType="end"/>
      </w:r>
      <w:r w:rsidRPr="0071558C">
        <w:rPr>
          <w:b/>
          <w:sz w:val="18"/>
          <w:szCs w:val="18"/>
        </w:rPr>
        <w:t>.</w:t>
      </w:r>
      <w:r w:rsidRPr="0071558C">
        <w:rPr>
          <w:sz w:val="18"/>
          <w:szCs w:val="18"/>
        </w:rPr>
        <w:t xml:space="preserve"> </w:t>
      </w:r>
      <w:r w:rsidR="0071315D">
        <w:rPr>
          <w:sz w:val="18"/>
          <w:szCs w:val="18"/>
        </w:rPr>
        <w:t xml:space="preserve">Example </w:t>
      </w:r>
      <w:r w:rsidR="00CE2CBD">
        <w:rPr>
          <w:sz w:val="18"/>
          <w:szCs w:val="18"/>
        </w:rPr>
        <w:t xml:space="preserve">PP </w:t>
      </w:r>
      <w:r w:rsidR="0071315D">
        <w:rPr>
          <w:sz w:val="18"/>
          <w:szCs w:val="18"/>
        </w:rPr>
        <w:t>level</w:t>
      </w:r>
      <w:r w:rsidRPr="0071558C">
        <w:rPr>
          <w:sz w:val="18"/>
          <w:szCs w:val="18"/>
        </w:rPr>
        <w:t>.</w:t>
      </w:r>
    </w:p>
    <w:p w14:paraId="043C159E" w14:textId="1FD86F1E" w:rsidR="00C4505E" w:rsidRPr="001D63A8" w:rsidRDefault="0071558C" w:rsidP="00C12A38">
      <w:pPr>
        <w:ind w:firstLine="230"/>
      </w:pPr>
      <w:r>
        <w:rPr>
          <w:b/>
        </w:rPr>
        <w:t xml:space="preserve">Performance Metrics. </w:t>
      </w:r>
      <w:r w:rsidRPr="0071558C">
        <w:t xml:space="preserve">Gold and silver badges are awarded to students who manage to solve a level. A gold badge is given to a student who is able to solve the level by drawing a number of objects </w:t>
      </w:r>
      <w:r w:rsidR="007F4EC7">
        <w:t>equal to</w:t>
      </w:r>
      <w:r w:rsidRPr="0071558C">
        <w:t xml:space="preserve"> the </w:t>
      </w:r>
      <w:r w:rsidR="00CE2CBD">
        <w:t>particular</w:t>
      </w:r>
      <w:r w:rsidR="00CE2CBD" w:rsidRPr="0071558C">
        <w:t xml:space="preserve"> </w:t>
      </w:r>
      <w:r w:rsidRPr="0071558C">
        <w:t>level</w:t>
      </w:r>
      <w:r w:rsidR="00CE2CBD">
        <w:t>’</w:t>
      </w:r>
      <w:r w:rsidRPr="0071558C">
        <w:t>s par value</w:t>
      </w:r>
      <w:r w:rsidR="00CE2CBD">
        <w:t xml:space="preserve"> (</w:t>
      </w:r>
      <w:r w:rsidR="008C14C3">
        <w:t>i.e.</w:t>
      </w:r>
      <w:r w:rsidR="00CE2CBD">
        <w:t>,</w:t>
      </w:r>
      <w:r w:rsidR="008C14C3">
        <w:t xml:space="preserve"> </w:t>
      </w:r>
      <w:r w:rsidRPr="0071558C">
        <w:t xml:space="preserve">the minimum number of objects </w:t>
      </w:r>
      <w:r w:rsidR="00CE2CBD">
        <w:t>needed</w:t>
      </w:r>
      <w:r w:rsidRPr="0071558C">
        <w:t xml:space="preserve"> to be drawn to solve </w:t>
      </w:r>
      <w:r w:rsidR="00CE2CBD">
        <w:t>the</w:t>
      </w:r>
      <w:r w:rsidRPr="0071558C">
        <w:t xml:space="preserve"> level</w:t>
      </w:r>
      <w:r w:rsidR="00CE2CBD">
        <w:t>)</w:t>
      </w:r>
      <w:r w:rsidRPr="0071558C">
        <w:t xml:space="preserve">. A student who </w:t>
      </w:r>
      <w:r w:rsidR="008C14C3">
        <w:t xml:space="preserve">solves </w:t>
      </w:r>
      <w:r w:rsidRPr="0071558C">
        <w:t xml:space="preserve">a level using </w:t>
      </w:r>
      <w:r w:rsidR="00A41C7F">
        <w:t>more</w:t>
      </w:r>
      <w:r w:rsidRPr="0071558C">
        <w:t xml:space="preserve"> objects will earn a silver badge. A student earns no badge if he was</w:t>
      </w:r>
      <w:r>
        <w:t xml:space="preserve"> </w:t>
      </w:r>
      <w:r w:rsidRPr="0071558C">
        <w:t>n</w:t>
      </w:r>
      <w:r>
        <w:t>o</w:t>
      </w:r>
      <w:r w:rsidRPr="0071558C">
        <w:t>t able to solve the level</w:t>
      </w:r>
      <w:r w:rsidR="006F5336">
        <w:t>.</w:t>
      </w:r>
      <w:r w:rsidRPr="0071558C">
        <w:t xml:space="preserve"> </w:t>
      </w:r>
      <w:r w:rsidR="00CE2CBD">
        <w:t>Many</w:t>
      </w:r>
      <w:r w:rsidR="00CE2CBD" w:rsidRPr="0071558C">
        <w:t xml:space="preserve"> </w:t>
      </w:r>
      <w:r w:rsidRPr="0071558C">
        <w:t xml:space="preserve">levels in </w:t>
      </w:r>
      <w:r w:rsidR="00CE2CBD">
        <w:t>P</w:t>
      </w:r>
      <w:r w:rsidRPr="0071558C">
        <w:t>P have multiple solutions, mean</w:t>
      </w:r>
      <w:r w:rsidR="006F5336">
        <w:t>ing</w:t>
      </w:r>
      <w:r w:rsidRPr="0071558C">
        <w:t xml:space="preserve"> a player can solve the level using different agents.</w:t>
      </w:r>
    </w:p>
    <w:p w14:paraId="1015FFC8" w14:textId="77777777" w:rsidR="00C4505E" w:rsidRPr="009A3755" w:rsidRDefault="00C4505E" w:rsidP="00C4505E">
      <w:pPr>
        <w:pStyle w:val="heading20"/>
      </w:pPr>
      <w:r>
        <w:t>2.3</w:t>
      </w:r>
      <w:r w:rsidRPr="009A3755">
        <w:t xml:space="preserve">   </w:t>
      </w:r>
      <w:r>
        <w:t>Interaction Logs</w:t>
      </w:r>
      <w:r w:rsidRPr="009A3755">
        <w:t xml:space="preserve"> </w:t>
      </w:r>
    </w:p>
    <w:p w14:paraId="370243AB" w14:textId="77777777" w:rsidR="00C4505E" w:rsidRDefault="00C4505E" w:rsidP="000E528D">
      <w:pPr>
        <w:pStyle w:val="p1a"/>
      </w:pPr>
      <w:r>
        <w:t xml:space="preserve">During gameplay, </w:t>
      </w:r>
      <w:r w:rsidR="00CE2CBD">
        <w:t xml:space="preserve">PP </w:t>
      </w:r>
      <w:r>
        <w:t>automatically generates interaction log files. Each level a student plays creates a corresponding log file, which tracks every event that occurs as the student interacts with the game.</w:t>
      </w:r>
      <w:r w:rsidR="00E35F36">
        <w:t xml:space="preserve"> Per level attempt, PP tracks </w:t>
      </w:r>
      <w:r w:rsidR="00490437">
        <w:t xml:space="preserve">begin and end times, the agents used, and the badges awarded upon level completion. </w:t>
      </w:r>
      <w:r w:rsidR="00E35F36">
        <w:t xml:space="preserve">PP also logs the </w:t>
      </w:r>
      <w:r w:rsidR="00E35F36">
        <w:rPr>
          <w:i/>
        </w:rPr>
        <w:t xml:space="preserve">Freeform Objects </w:t>
      </w:r>
      <w:r w:rsidR="00E35F36">
        <w:t xml:space="preserve">that player draw, or objects that cannot be classified as any of the four agents. </w:t>
      </w:r>
      <w:r w:rsidR="00490437">
        <w:t xml:space="preserve">The physics agents within PP are as follows: </w:t>
      </w:r>
    </w:p>
    <w:p w14:paraId="6CEAD0CF" w14:textId="5183236A" w:rsidR="00361852" w:rsidRDefault="00361852" w:rsidP="00DD4C6E">
      <w:pPr>
        <w:pStyle w:val="p1a"/>
        <w:numPr>
          <w:ilvl w:val="0"/>
          <w:numId w:val="6"/>
        </w:numPr>
        <w:ind w:left="450"/>
      </w:pPr>
      <w:r>
        <w:t xml:space="preserve">Ramp, </w:t>
      </w:r>
      <w:r w:rsidR="00EC6B75" w:rsidRPr="00EC6B75">
        <w:t>any line drawn that helps to guide a ball in motion</w:t>
      </w:r>
      <w:r w:rsidR="00EC6B75">
        <w:t>,</w:t>
      </w:r>
    </w:p>
    <w:p w14:paraId="07597F4D" w14:textId="0E336EFA" w:rsidR="00361852" w:rsidRDefault="00361852" w:rsidP="00DD4C6E">
      <w:pPr>
        <w:pStyle w:val="p1a"/>
        <w:numPr>
          <w:ilvl w:val="0"/>
          <w:numId w:val="6"/>
        </w:numPr>
        <w:ind w:left="450"/>
      </w:pPr>
      <w:r>
        <w:t xml:space="preserve">Lever, </w:t>
      </w:r>
      <w:r w:rsidR="00EC6B75">
        <w:t xml:space="preserve">an agent that </w:t>
      </w:r>
      <w:r w:rsidR="00EC6B75" w:rsidRPr="00EC6B75">
        <w:t>rotates around a fixed point, usually called a fu</w:t>
      </w:r>
      <w:r w:rsidR="00EC6B75">
        <w:t>lcrum</w:t>
      </w:r>
      <w:r>
        <w:t>,</w:t>
      </w:r>
    </w:p>
    <w:p w14:paraId="0F75683F" w14:textId="47C69F0A" w:rsidR="00361852" w:rsidRDefault="00361852" w:rsidP="00DD4C6E">
      <w:pPr>
        <w:pStyle w:val="p1a"/>
        <w:numPr>
          <w:ilvl w:val="0"/>
          <w:numId w:val="6"/>
        </w:numPr>
        <w:ind w:left="450"/>
      </w:pPr>
      <w:r>
        <w:t>Pendulum</w:t>
      </w:r>
      <w:r w:rsidR="00EC6B75">
        <w:t xml:space="preserve">, an agent that </w:t>
      </w:r>
      <w:r w:rsidR="00EC6B75" w:rsidRPr="00EC6B75">
        <w:t>directs an impulse tangent to its direction of motion</w:t>
      </w:r>
      <w:r w:rsidR="006F5336">
        <w:t xml:space="preserve">, </w:t>
      </w:r>
    </w:p>
    <w:p w14:paraId="262CE000" w14:textId="1B5485CD" w:rsidR="00C4505E" w:rsidRPr="001D63A8" w:rsidRDefault="00361852" w:rsidP="002E1978">
      <w:pPr>
        <w:pStyle w:val="p1a"/>
        <w:numPr>
          <w:ilvl w:val="0"/>
          <w:numId w:val="6"/>
        </w:numPr>
        <w:ind w:left="450"/>
      </w:pPr>
      <w:r>
        <w:t xml:space="preserve">Springboard, </w:t>
      </w:r>
      <w:r w:rsidR="00EC6B75">
        <w:t xml:space="preserve">an agent that </w:t>
      </w:r>
      <w:r w:rsidR="00EC6B75" w:rsidRPr="00EC6B75">
        <w:t>stores elastic potential energy provided by a falling weight</w:t>
      </w:r>
      <w:r w:rsidR="006F5336">
        <w:t>.</w:t>
      </w:r>
      <w:r w:rsidR="00C4505E">
        <w:t xml:space="preserve"> </w:t>
      </w:r>
    </w:p>
    <w:p w14:paraId="229A32CC" w14:textId="77777777" w:rsidR="00C4505E" w:rsidRPr="009A3755" w:rsidRDefault="00C4505E" w:rsidP="00C4505E">
      <w:pPr>
        <w:pStyle w:val="heading20"/>
      </w:pPr>
      <w:r>
        <w:lastRenderedPageBreak/>
        <w:t>2.4</w:t>
      </w:r>
      <w:r w:rsidRPr="009A3755">
        <w:t xml:space="preserve">   </w:t>
      </w:r>
      <w:r w:rsidR="00792BFF">
        <w:t>The Observation Protocol</w:t>
      </w:r>
    </w:p>
    <w:p w14:paraId="109B8AF0" w14:textId="3368A53D" w:rsidR="0064474D" w:rsidRDefault="00BC7F4D" w:rsidP="00B87AA2">
      <w:pPr>
        <w:pStyle w:val="p1a"/>
      </w:pPr>
      <w:r w:rsidRPr="00BC7F4D">
        <w:t xml:space="preserve">The Baker-Rodrigo-Ocumpaugh Monitoring Protocol (BROMP) is a protocol for quantitative field observations of student affect and </w:t>
      </w:r>
      <w:r w:rsidR="00E07FF0">
        <w:t xml:space="preserve">engagement-related </w:t>
      </w:r>
      <w:r w:rsidRPr="00BC7F4D">
        <w:t>behavior</w:t>
      </w:r>
      <w:r w:rsidR="00E07FF0">
        <w:t xml:space="preserve">, </w:t>
      </w:r>
      <w:r w:rsidR="008C14C3">
        <w:t xml:space="preserve">described in detail in </w:t>
      </w:r>
      <w:r w:rsidR="005C6A12">
        <w:t>[</w:t>
      </w:r>
      <w:r w:rsidR="003E4768">
        <w:fldChar w:fldCharType="begin"/>
      </w:r>
      <w:r w:rsidR="00AE2FE0">
        <w:instrText xml:space="preserve"> REF _Ref288734016 \r \h </w:instrText>
      </w:r>
      <w:r w:rsidR="003E4768">
        <w:fldChar w:fldCharType="separate"/>
      </w:r>
      <w:r w:rsidR="004E19EC">
        <w:t>9</w:t>
      </w:r>
      <w:r w:rsidR="003E4768">
        <w:fldChar w:fldCharType="end"/>
      </w:r>
      <w:r w:rsidR="005C6A12">
        <w:t>]</w:t>
      </w:r>
      <w:r w:rsidR="00E26A33">
        <w:t>.</w:t>
      </w:r>
      <w:r w:rsidR="00B87AA2">
        <w:t xml:space="preserve"> </w:t>
      </w:r>
      <w:r w:rsidR="00E26A33">
        <w:t xml:space="preserve">The affective states observed within </w:t>
      </w:r>
      <w:r w:rsidR="00CE2CBD">
        <w:t xml:space="preserve">Physics </w:t>
      </w:r>
      <w:r w:rsidR="00E26A33">
        <w:t>Playground</w:t>
      </w:r>
      <w:r w:rsidR="0064474D">
        <w:t xml:space="preserve"> in this study</w:t>
      </w:r>
      <w:r w:rsidR="00E26A33">
        <w:t xml:space="preserve"> were </w:t>
      </w:r>
      <w:r w:rsidR="00E732B8">
        <w:t xml:space="preserve">engaged </w:t>
      </w:r>
      <w:r w:rsidR="00E26A33">
        <w:t>concentration, confusion, frustration, boredom, happiness, delight, and curiosity.</w:t>
      </w:r>
      <w:r w:rsidR="006B773E">
        <w:t xml:space="preserve"> </w:t>
      </w:r>
      <w:r w:rsidR="003043E7">
        <w:t xml:space="preserve">The affective categories were drawn from </w:t>
      </w:r>
      <w:r w:rsidR="005C6A12">
        <w:t>[</w:t>
      </w:r>
      <w:r w:rsidR="003E4768">
        <w:fldChar w:fldCharType="begin"/>
      </w:r>
      <w:r w:rsidR="00AE2FE0">
        <w:instrText xml:space="preserve"> REF _Ref288734063 \r \h </w:instrText>
      </w:r>
      <w:r w:rsidR="003E4768">
        <w:fldChar w:fldCharType="separate"/>
      </w:r>
      <w:r w:rsidR="004E19EC">
        <w:t>6</w:t>
      </w:r>
      <w:r w:rsidR="003E4768">
        <w:fldChar w:fldCharType="end"/>
      </w:r>
      <w:r w:rsidR="005C6A12">
        <w:t>]</w:t>
      </w:r>
      <w:r w:rsidR="006B773E">
        <w:t>.</w:t>
      </w:r>
      <w:r w:rsidR="00E26A33">
        <w:t xml:space="preserve"> </w:t>
      </w:r>
    </w:p>
    <w:p w14:paraId="3A2DCFF6" w14:textId="77777777" w:rsidR="005D0EC2" w:rsidRDefault="000D7FE3" w:rsidP="0064474D">
      <w:pPr>
        <w:pStyle w:val="p1a"/>
        <w:ind w:firstLine="230"/>
      </w:pPr>
      <w:r>
        <w:t>BROMP guides observers in coding affect</w:t>
      </w:r>
      <w:r w:rsidR="005D0EC2">
        <w:t xml:space="preserve"> through different </w:t>
      </w:r>
      <w:r w:rsidR="00795BB0" w:rsidRPr="00795BB0">
        <w:t>utterances, body language, and interaction with the software</w:t>
      </w:r>
      <w:r w:rsidR="00795BB0" w:rsidRPr="00795BB0" w:rsidDel="00795BB0">
        <w:t xml:space="preserve"> </w:t>
      </w:r>
      <w:r w:rsidR="005D0EC2">
        <w:t>specific to each affective state.</w:t>
      </w:r>
      <w:r>
        <w:t xml:space="preserve"> </w:t>
      </w:r>
      <w:r w:rsidR="00795BB0">
        <w:t xml:space="preserve">A total of </w:t>
      </w:r>
      <w:r w:rsidR="00EE55BE">
        <w:t>seven</w:t>
      </w:r>
      <w:r w:rsidR="00795BB0">
        <w:t xml:space="preserve"> affective states were coded, however, this study focuses on three: c</w:t>
      </w:r>
      <w:r w:rsidR="005D0EC2">
        <w:t>oncentration, confusion, and boredom</w:t>
      </w:r>
      <w:r w:rsidR="00795BB0">
        <w:t xml:space="preserve">. These </w:t>
      </w:r>
      <w:r w:rsidR="005D0EC2">
        <w:t xml:space="preserve">were </w:t>
      </w:r>
      <w:r w:rsidR="00795BB0">
        <w:t xml:space="preserve">identified </w:t>
      </w:r>
      <w:r w:rsidR="005D0EC2">
        <w:t>as follows:</w:t>
      </w:r>
    </w:p>
    <w:p w14:paraId="0A8FE1BE" w14:textId="5D052D0E" w:rsidR="00AE2FE0" w:rsidRDefault="00AE2FE0" w:rsidP="00AE2FE0">
      <w:pPr>
        <w:pStyle w:val="p1a"/>
        <w:numPr>
          <w:ilvl w:val="0"/>
          <w:numId w:val="11"/>
        </w:numPr>
        <w:ind w:left="630"/>
      </w:pPr>
      <w:r>
        <w:t>Concentration — immersion and focus on the task at hand, leaning toward the computer and attempting to solve the level, a subset of the flow experience described in [</w:t>
      </w:r>
      <w:r w:rsidR="003E4768">
        <w:rPr>
          <w:highlight w:val="yellow"/>
        </w:rPr>
        <w:fldChar w:fldCharType="begin"/>
      </w:r>
      <w:r>
        <w:instrText xml:space="preserve"> REF _Ref288734225 \r \h </w:instrText>
      </w:r>
      <w:r w:rsidR="003E4768">
        <w:rPr>
          <w:highlight w:val="yellow"/>
        </w:rPr>
      </w:r>
      <w:r w:rsidR="003E4768">
        <w:rPr>
          <w:highlight w:val="yellow"/>
        </w:rPr>
        <w:fldChar w:fldCharType="separate"/>
      </w:r>
      <w:r w:rsidR="002068C9">
        <w:t>5</w:t>
      </w:r>
      <w:r w:rsidR="003E4768">
        <w:rPr>
          <w:highlight w:val="yellow"/>
        </w:rPr>
        <w:fldChar w:fldCharType="end"/>
      </w:r>
      <w:r>
        <w:t>].</w:t>
      </w:r>
    </w:p>
    <w:p w14:paraId="4CD3F38A" w14:textId="77777777" w:rsidR="00AE2FE0" w:rsidRDefault="00AE2FE0" w:rsidP="00AE2FE0">
      <w:pPr>
        <w:pStyle w:val="p1a"/>
        <w:numPr>
          <w:ilvl w:val="0"/>
          <w:numId w:val="11"/>
        </w:numPr>
        <w:ind w:left="630"/>
      </w:pPr>
      <w:r>
        <w:t>Confusion — scratching his head, repeatedly attempting to solve the same level, statements such as “I don’t understand?” and “Why didn’t it work?”</w:t>
      </w:r>
    </w:p>
    <w:p w14:paraId="7A32D3D7" w14:textId="77777777" w:rsidR="002B6423" w:rsidRDefault="00AE2FE0" w:rsidP="00AE2FE0">
      <w:pPr>
        <w:pStyle w:val="p1a"/>
        <w:numPr>
          <w:ilvl w:val="0"/>
          <w:numId w:val="11"/>
        </w:numPr>
        <w:ind w:left="630"/>
      </w:pPr>
      <w:r>
        <w:t>Boredom — slouching, sitting back and looking around the classroom for prolonged periods of time, statements such as “Can we do something else?” and “This is boring!”</w:t>
      </w:r>
    </w:p>
    <w:p w14:paraId="0AF5CFBA" w14:textId="5097F345" w:rsidR="00E26A33" w:rsidRDefault="00AC07D6" w:rsidP="0064474D">
      <w:pPr>
        <w:pStyle w:val="p1a"/>
        <w:ind w:firstLine="230"/>
      </w:pPr>
      <w:r>
        <w:t>Following</w:t>
      </w:r>
      <w:r w:rsidR="003043E7" w:rsidRPr="003043E7">
        <w:t xml:space="preserve"> BROMP, </w:t>
      </w:r>
      <w:r w:rsidR="005D5932">
        <w:t xml:space="preserve">two trained observers observed </w:t>
      </w:r>
      <w:r w:rsidR="002B6423">
        <w:t>ten students per session, coding students in a round-robin manner</w:t>
      </w:r>
      <w:r w:rsidR="000D7FE3">
        <w:t>,</w:t>
      </w:r>
      <w:r w:rsidR="002B6423">
        <w:t xml:space="preserve"> in 20-second intervals throughout the entire observation period of 2 hours</w:t>
      </w:r>
      <w:r w:rsidR="005D5932">
        <w:t xml:space="preserve">. </w:t>
      </w:r>
      <w:r w:rsidR="002B6423">
        <w:t>During each 20-second window, both BROMP observers code the current student</w:t>
      </w:r>
      <w:r w:rsidR="00AE2FE0">
        <w:t xml:space="preserve">’s affect </w:t>
      </w:r>
      <w:r w:rsidR="005D0EC2">
        <w:t>independently</w:t>
      </w:r>
      <w:r w:rsidR="002B6423">
        <w:t>.</w:t>
      </w:r>
      <w:r w:rsidR="003043E7">
        <w:t xml:space="preserve"> </w:t>
      </w:r>
      <w:r w:rsidR="00E26A33">
        <w:t xml:space="preserve">If the student exhibited two or more distinct states during a 20-second </w:t>
      </w:r>
      <w:r w:rsidR="005D5932">
        <w:t>observation</w:t>
      </w:r>
      <w:r w:rsidR="000D7FE3">
        <w:t xml:space="preserve"> window</w:t>
      </w:r>
      <w:r w:rsidR="00E26A33">
        <w:t>, the observers only coded the first state.</w:t>
      </w:r>
      <w:r w:rsidR="000D7FE3">
        <w:t xml:space="preserve"> The inter-coder reliability for affect for the two observers in the study was acceptably high with a Cohen’s Kappa [</w:t>
      </w:r>
      <w:r w:rsidR="002068C9">
        <w:fldChar w:fldCharType="begin"/>
      </w:r>
      <w:r w:rsidR="002068C9">
        <w:instrText xml:space="preserve"> REF _Ref292621119 \r \h </w:instrText>
      </w:r>
      <w:r w:rsidR="002068C9">
        <w:fldChar w:fldCharType="separate"/>
      </w:r>
      <w:r w:rsidR="004E19EC">
        <w:t>3</w:t>
      </w:r>
      <w:r w:rsidR="002068C9">
        <w:fldChar w:fldCharType="end"/>
      </w:r>
      <w:r w:rsidR="000D7FE3">
        <w:t>] of 0.67. The typical threshold for certifying a coder in the use of BROMP is 0.6, a standard previously used in certifying 71 coders in the use of BROMP (e.g., [</w:t>
      </w:r>
      <w:r w:rsidR="003E4768">
        <w:fldChar w:fldCharType="begin"/>
      </w:r>
      <w:r w:rsidR="00AE2FE0">
        <w:instrText xml:space="preserve"> REF _Ref288734016 \r \h </w:instrText>
      </w:r>
      <w:r w:rsidR="003E4768">
        <w:fldChar w:fldCharType="separate"/>
      </w:r>
      <w:r w:rsidR="004E19EC">
        <w:t>9</w:t>
      </w:r>
      <w:r w:rsidR="003E4768">
        <w:fldChar w:fldCharType="end"/>
      </w:r>
      <w:r w:rsidR="000D7FE3">
        <w:t>])</w:t>
      </w:r>
      <w:r w:rsidR="000D7FE3" w:rsidRPr="00966EB6">
        <w:t>.</w:t>
      </w:r>
      <w:r w:rsidR="009066B3">
        <w:rPr>
          <w:rStyle w:val="CommentReference"/>
        </w:rPr>
        <w:t xml:space="preserve"> </w:t>
      </w:r>
    </w:p>
    <w:p w14:paraId="132EC659" w14:textId="77777777" w:rsidR="004A39DB" w:rsidRDefault="00866E3A" w:rsidP="004A39DB">
      <w:pPr>
        <w:pStyle w:val="p1a"/>
        <w:ind w:firstLine="230"/>
      </w:pPr>
      <w:r>
        <w:t>The observers recorded their observations using</w:t>
      </w:r>
      <w:r w:rsidR="000D7FE3">
        <w:t xml:space="preserve"> HART, or</w:t>
      </w:r>
      <w:r>
        <w:t xml:space="preserve"> the </w:t>
      </w:r>
      <w:r w:rsidRPr="00866E3A">
        <w:t>Human Affect Recording Tool. HART is an Android application developed to guide researchers in conducting quantitative field observations according to BROMP, and facilitate synchronization of BROMP data with educational software log dat</w:t>
      </w:r>
      <w:bookmarkStart w:id="2" w:name="_GoBack"/>
      <w:bookmarkEnd w:id="2"/>
      <w:r w:rsidRPr="00866E3A">
        <w:t xml:space="preserve">a. </w:t>
      </w:r>
    </w:p>
    <w:p w14:paraId="047C0B85" w14:textId="77777777" w:rsidR="00C4505E" w:rsidRPr="009A3755" w:rsidRDefault="00C4505E" w:rsidP="00C4505E">
      <w:pPr>
        <w:pStyle w:val="heading20"/>
      </w:pPr>
      <w:r>
        <w:t>2.6</w:t>
      </w:r>
      <w:r w:rsidRPr="009A3755">
        <w:t xml:space="preserve">   </w:t>
      </w:r>
      <w:r w:rsidR="00BC14D0">
        <w:t>Data Collection Process</w:t>
      </w:r>
      <w:r w:rsidRPr="009A3755">
        <w:t xml:space="preserve"> </w:t>
      </w:r>
    </w:p>
    <w:p w14:paraId="25D28FDC" w14:textId="705C7D4C" w:rsidR="0098348C" w:rsidRDefault="0098348C" w:rsidP="0098348C">
      <w:pPr>
        <w:pStyle w:val="p1a"/>
      </w:pPr>
      <w:r>
        <w:t xml:space="preserve">Before playing </w:t>
      </w:r>
      <w:r w:rsidR="00CE2CBD">
        <w:t>PP</w:t>
      </w:r>
      <w:r>
        <w:t xml:space="preserve">, students </w:t>
      </w:r>
      <w:r w:rsidR="002068C9">
        <w:t>answered</w:t>
      </w:r>
      <w:r w:rsidR="002068C9">
        <w:t xml:space="preserve"> </w:t>
      </w:r>
      <w:r>
        <w:t>a 16-item multiple-choice pretest for 20 minutes. Students</w:t>
      </w:r>
      <w:r w:rsidR="00B1414F">
        <w:t xml:space="preserve"> then</w:t>
      </w:r>
      <w:r>
        <w:t xml:space="preserve"> played the game for </w:t>
      </w:r>
      <w:r w:rsidR="00B1414F">
        <w:t>2</w:t>
      </w:r>
      <w:r>
        <w:t xml:space="preserve"> hours, during which</w:t>
      </w:r>
      <w:r w:rsidR="00BA458F">
        <w:t xml:space="preserve"> time </w:t>
      </w:r>
      <w:r>
        <w:t xml:space="preserve">two trained observers used BROMP to code student affect and behavior on the HART application. A total of </w:t>
      </w:r>
      <w:r w:rsidR="006B773E">
        <w:t xml:space="preserve">4,320 observations were collected (i.e., </w:t>
      </w:r>
      <w:r>
        <w:t xml:space="preserve">36 observations per participant per </w:t>
      </w:r>
      <w:r w:rsidR="00931AF0">
        <w:t xml:space="preserve">each of the two </w:t>
      </w:r>
      <w:r>
        <w:t>observer</w:t>
      </w:r>
      <w:r w:rsidR="00931AF0">
        <w:t>s</w:t>
      </w:r>
      <w:r w:rsidR="006B773E">
        <w:t>)</w:t>
      </w:r>
      <w:r>
        <w:t xml:space="preserve">. After completing gameplay, participants </w:t>
      </w:r>
      <w:r w:rsidR="002068C9">
        <w:t>answered</w:t>
      </w:r>
      <w:r w:rsidR="002068C9">
        <w:t xml:space="preserve"> </w:t>
      </w:r>
      <w:r>
        <w:t>a 16-</w:t>
      </w:r>
      <w:r w:rsidR="00441713">
        <w:t xml:space="preserve">item </w:t>
      </w:r>
      <w:r>
        <w:t>multiple-choice posttest for 20 minutes. The pretest and posttest</w:t>
      </w:r>
      <w:r w:rsidR="00B1414F">
        <w:t xml:space="preserve"> were designed to assess knowl</w:t>
      </w:r>
      <w:r>
        <w:t>edge of physics concepts, and ha</w:t>
      </w:r>
      <w:r w:rsidR="00931AF0">
        <w:t>ve</w:t>
      </w:r>
      <w:r>
        <w:t xml:space="preserve"> been used in previous studies involving </w:t>
      </w:r>
      <w:r w:rsidR="00441713">
        <w:t xml:space="preserve">PP </w:t>
      </w:r>
      <w:r w:rsidR="005C6A12">
        <w:t>[</w:t>
      </w:r>
      <w:r w:rsidR="003E4768">
        <w:fldChar w:fldCharType="begin"/>
      </w:r>
      <w:r w:rsidR="00AE2FE0">
        <w:instrText xml:space="preserve"> REF _Ref288734030 \r \h </w:instrText>
      </w:r>
      <w:r w:rsidR="003E4768">
        <w:fldChar w:fldCharType="separate"/>
      </w:r>
      <w:r w:rsidR="004E19EC">
        <w:t>12</w:t>
      </w:r>
      <w:r w:rsidR="003E4768">
        <w:fldChar w:fldCharType="end"/>
      </w:r>
      <w:r w:rsidR="005C6A12">
        <w:t>]</w:t>
      </w:r>
      <w:r>
        <w:t>.</w:t>
      </w:r>
    </w:p>
    <w:p w14:paraId="1D362FF9" w14:textId="77777777" w:rsidR="00697C7F" w:rsidRDefault="00441713" w:rsidP="00A461D6">
      <w:r>
        <w:t>To</w:t>
      </w:r>
      <w:r w:rsidR="0098348C">
        <w:t xml:space="preserve"> investigate how students interacted with </w:t>
      </w:r>
      <w:r>
        <w:t>PP</w:t>
      </w:r>
      <w:r w:rsidR="0098348C">
        <w:t xml:space="preserve">, the study made use of the interaction logs recorded during gameplay to analyze student performance. Of the 60 participants, data from 11 students were lost because of faulty data capture and </w:t>
      </w:r>
      <w:r w:rsidR="0098348C">
        <w:lastRenderedPageBreak/>
        <w:t xml:space="preserve">corrupted log files. Only 49 students had complete observations and logs. </w:t>
      </w:r>
      <w:r w:rsidR="00271B19">
        <w:t xml:space="preserve">As a result, the </w:t>
      </w:r>
      <w:r w:rsidR="002B6423">
        <w:t xml:space="preserve">analysis </w:t>
      </w:r>
      <w:r w:rsidR="0098348C">
        <w:t xml:space="preserve">in this paper </w:t>
      </w:r>
      <w:r w:rsidR="002B6423">
        <w:t xml:space="preserve">is </w:t>
      </w:r>
      <w:r w:rsidR="0098348C">
        <w:t>limited to</w:t>
      </w:r>
      <w:r w:rsidR="00271B19">
        <w:t xml:space="preserve"> </w:t>
      </w:r>
      <w:r w:rsidR="0098348C">
        <w:t>these students</w:t>
      </w:r>
      <w:r w:rsidR="00271B19">
        <w:t>, and the 3,528 remaining affect observations</w:t>
      </w:r>
      <w:r w:rsidR="00C4505E" w:rsidRPr="001D63A8">
        <w:t>.</w:t>
      </w:r>
      <w:r w:rsidR="001C67D9">
        <w:t xml:space="preserve"> Engaged concentration was observed 72% of the time, confusion was observed 8% of the time, and boredom</w:t>
      </w:r>
      <w:r w:rsidR="00E732B8">
        <w:t xml:space="preserve"> and frustration</w:t>
      </w:r>
      <w:r w:rsidR="001C67D9">
        <w:t xml:space="preserve"> w</w:t>
      </w:r>
      <w:r w:rsidR="00E732B8">
        <w:t>ere</w:t>
      </w:r>
      <w:r w:rsidR="001C67D9">
        <w:t xml:space="preserve"> observed 7% of the time.</w:t>
      </w:r>
      <w:r w:rsidR="00E732B8">
        <w:t xml:space="preserve"> Happiness, delight, and curiosity comprise the remaining 6% of the observation time.</w:t>
      </w:r>
    </w:p>
    <w:p w14:paraId="42DB29BD" w14:textId="77777777" w:rsidR="00697C7F" w:rsidRPr="001D63A8" w:rsidRDefault="00697C7F" w:rsidP="00697C7F">
      <w:pPr>
        <w:pStyle w:val="heading10"/>
      </w:pPr>
      <w:r>
        <w:t>3</w:t>
      </w:r>
      <w:r w:rsidRPr="009A3755">
        <w:t xml:space="preserve">   </w:t>
      </w:r>
      <w:r w:rsidR="00777722">
        <w:t xml:space="preserve">Analyses </w:t>
      </w:r>
      <w:r>
        <w:t>and Results</w:t>
      </w:r>
    </w:p>
    <w:p w14:paraId="6CDD2008" w14:textId="77777777" w:rsidR="00697C7F" w:rsidRPr="009A3755" w:rsidRDefault="00697C7F" w:rsidP="00697C7F">
      <w:pPr>
        <w:pStyle w:val="heading20"/>
      </w:pPr>
      <w:r>
        <w:t>3</w:t>
      </w:r>
      <w:r w:rsidRPr="009A3755">
        <w:t xml:space="preserve">.1   </w:t>
      </w:r>
      <w:r w:rsidR="004C5769">
        <w:t xml:space="preserve">Agent </w:t>
      </w:r>
      <w:r w:rsidR="00B9107E">
        <w:t>Sequences</w:t>
      </w:r>
      <w:r w:rsidRPr="009A3755">
        <w:t xml:space="preserve"> </w:t>
      </w:r>
    </w:p>
    <w:p w14:paraId="7A22D414" w14:textId="77777777" w:rsidR="00361852" w:rsidRDefault="007F4EC7" w:rsidP="007F4EC7">
      <w:pPr>
        <w:ind w:firstLine="0"/>
      </w:pPr>
      <w:r>
        <w:t xml:space="preserve">All PP-generated logs were parsed and filtered to produce a list containing only the events relevant to the study. Sequences were then separated into one of </w:t>
      </w:r>
      <w:r w:rsidR="00D63F52">
        <w:t xml:space="preserve">two </w:t>
      </w:r>
      <w:r>
        <w:t>categories</w:t>
      </w:r>
      <w:r w:rsidR="00361852">
        <w:t xml:space="preserve">: 1) </w:t>
      </w:r>
      <w:r>
        <w:t xml:space="preserve">silver </w:t>
      </w:r>
      <w:r w:rsidR="00B9107E">
        <w:t>sequences</w:t>
      </w:r>
      <w:r>
        <w:t>, or the sequences that ultimately led to a silver badge</w:t>
      </w:r>
      <w:r w:rsidR="0095792D">
        <w:t>, which comprised 44% of all level attempts</w:t>
      </w:r>
      <w:r>
        <w:t xml:space="preserve">, and </w:t>
      </w:r>
      <w:r w:rsidR="00D63F52">
        <w:t>2</w:t>
      </w:r>
      <w:r>
        <w:t xml:space="preserve">) unsolved </w:t>
      </w:r>
      <w:r w:rsidR="00B9107E">
        <w:t>sequences</w:t>
      </w:r>
      <w:r w:rsidR="00361852">
        <w:t xml:space="preserve">, or the sequences that led to the student quitting the level without </w:t>
      </w:r>
      <w:r w:rsidR="004C5769">
        <w:t>finding a solution</w:t>
      </w:r>
      <w:r w:rsidR="0095792D">
        <w:t>, which comprised 39% of all level attempts</w:t>
      </w:r>
      <w:r w:rsidR="00792EFF">
        <w:t>. Sequences that ended in gold badges were dropped from the analysis because</w:t>
      </w:r>
      <w:r w:rsidR="008D6C29">
        <w:t xml:space="preserve"> they only comprised 17% of all level attempts.</w:t>
      </w:r>
    </w:p>
    <w:p w14:paraId="252F092A" w14:textId="77777777" w:rsidR="00E36F0A" w:rsidRDefault="00BC7577" w:rsidP="00E35F36">
      <w:r>
        <w:t xml:space="preserve">Every time a student earns a badge after solving a level, the badge is awarded for one of the four agents (e.g., a player </w:t>
      </w:r>
      <w:r w:rsidR="00DB7E68">
        <w:t>is</w:t>
      </w:r>
      <w:r>
        <w:t xml:space="preserve"> awarded a silver ramp badge for solving the level using a ramp, and another player </w:t>
      </w:r>
      <w:r w:rsidR="00DB7E68">
        <w:t>is</w:t>
      </w:r>
      <w:r>
        <w:t xml:space="preserve"> awarded a </w:t>
      </w:r>
      <w:r w:rsidR="002916EF">
        <w:t xml:space="preserve">gold pendulum </w:t>
      </w:r>
      <w:r>
        <w:t xml:space="preserve">badge for solving another level using a </w:t>
      </w:r>
      <w:r w:rsidR="002916EF">
        <w:t>pendulum</w:t>
      </w:r>
      <w:r>
        <w:t>). We tracked the agents the badges were awarded for</w:t>
      </w:r>
      <w:r w:rsidR="00CB06D1">
        <w:t xml:space="preserve"> per level</w:t>
      </w:r>
      <w:r w:rsidR="002916EF">
        <w:t>, and used t</w:t>
      </w:r>
      <w:r w:rsidR="00CB06D1">
        <w:t>hi</w:t>
      </w:r>
      <w:r w:rsidR="00DB7E68">
        <w:t>s list of badges to re</w:t>
      </w:r>
      <w:r w:rsidR="00CB06D1">
        <w:t xml:space="preserve">label the </w:t>
      </w:r>
      <w:r w:rsidR="00D63F52">
        <w:t>sequences</w:t>
      </w:r>
      <w:r w:rsidR="00CB06D1">
        <w:t xml:space="preserve"> based on correctness. If the level awarded a badge for an agent, that agent was labeled as </w:t>
      </w:r>
      <w:r w:rsidR="00CB06D1" w:rsidRPr="00A06B86">
        <w:rPr>
          <w:rFonts w:ascii="Consolas" w:hAnsi="Consolas"/>
          <w:sz w:val="18"/>
          <w:szCs w:val="18"/>
        </w:rPr>
        <w:t>correct</w:t>
      </w:r>
      <w:r w:rsidR="00CB06D1">
        <w:t xml:space="preserve"> for that level; i</w:t>
      </w:r>
      <w:r w:rsidR="00A06B86">
        <w:t xml:space="preserve">f not, the agent was labeled as </w:t>
      </w:r>
      <w:r w:rsidR="00A06B86" w:rsidRPr="00DB7E68">
        <w:rPr>
          <w:rFonts w:ascii="Consolas" w:hAnsi="Consolas"/>
          <w:sz w:val="18"/>
          <w:szCs w:val="18"/>
        </w:rPr>
        <w:t>wrong</w:t>
      </w:r>
      <w:r w:rsidR="00A06B86">
        <w:t xml:space="preserve"> for the level.</w:t>
      </w:r>
      <w:r w:rsidR="00DB7E68">
        <w:t xml:space="preserve"> For example, on a level that awarded badges for springboards and levers, a sequence of </w:t>
      </w:r>
      <w:r w:rsidR="00DB7E68" w:rsidRPr="00FC093C">
        <w:rPr>
          <w:rFonts w:ascii="Consolas" w:hAnsi="Consolas"/>
          <w:sz w:val="18"/>
          <w:szCs w:val="18"/>
        </w:rPr>
        <w:t xml:space="preserve">Lever &gt; Ramp </w:t>
      </w:r>
      <w:r w:rsidR="00DB7E68">
        <w:rPr>
          <w:rFonts w:ascii="Consolas" w:hAnsi="Consolas"/>
          <w:sz w:val="18"/>
          <w:szCs w:val="18"/>
        </w:rPr>
        <w:t>&gt;</w:t>
      </w:r>
      <w:r w:rsidR="00DB7E68" w:rsidRPr="00FC093C">
        <w:rPr>
          <w:rFonts w:ascii="Consolas" w:hAnsi="Consolas"/>
          <w:sz w:val="18"/>
          <w:szCs w:val="18"/>
        </w:rPr>
        <w:t xml:space="preserve"> Springboard &gt; Level End (silver-springboard)</w:t>
      </w:r>
      <w:r w:rsidR="00DB7E68">
        <w:t xml:space="preserve"> would be relabeled as </w:t>
      </w:r>
      <w:r w:rsidR="00DB7E68">
        <w:rPr>
          <w:rFonts w:ascii="Consolas" w:hAnsi="Consolas"/>
          <w:sz w:val="18"/>
          <w:szCs w:val="18"/>
        </w:rPr>
        <w:t>correct</w:t>
      </w:r>
      <w:r w:rsidR="00DB7E68" w:rsidRPr="00FC093C">
        <w:rPr>
          <w:rFonts w:ascii="Consolas" w:hAnsi="Consolas"/>
          <w:sz w:val="18"/>
          <w:szCs w:val="18"/>
        </w:rPr>
        <w:t xml:space="preserve"> &gt;</w:t>
      </w:r>
      <w:r w:rsidR="00DB7E68">
        <w:rPr>
          <w:rFonts w:ascii="Consolas" w:hAnsi="Consolas"/>
          <w:sz w:val="18"/>
          <w:szCs w:val="18"/>
        </w:rPr>
        <w:t xml:space="preserve"> </w:t>
      </w:r>
      <w:r w:rsidR="00DB7E68" w:rsidRPr="00FC093C">
        <w:rPr>
          <w:rFonts w:ascii="Consolas" w:hAnsi="Consolas"/>
          <w:sz w:val="18"/>
          <w:szCs w:val="18"/>
        </w:rPr>
        <w:t>wrong &gt;</w:t>
      </w:r>
      <w:r w:rsidR="00DB7E68">
        <w:rPr>
          <w:rFonts w:ascii="Consolas" w:hAnsi="Consolas"/>
          <w:sz w:val="18"/>
          <w:szCs w:val="18"/>
        </w:rPr>
        <w:t xml:space="preserve"> </w:t>
      </w:r>
      <w:r w:rsidR="00DB7E68" w:rsidRPr="00FC093C">
        <w:rPr>
          <w:rFonts w:ascii="Consolas" w:hAnsi="Consolas"/>
          <w:sz w:val="18"/>
          <w:szCs w:val="18"/>
        </w:rPr>
        <w:t>correct &gt;</w:t>
      </w:r>
      <w:r w:rsidR="00DB7E68">
        <w:rPr>
          <w:rFonts w:ascii="Consolas" w:hAnsi="Consolas"/>
          <w:sz w:val="18"/>
          <w:szCs w:val="18"/>
        </w:rPr>
        <w:t xml:space="preserve"> </w:t>
      </w:r>
      <w:r w:rsidR="00DB7E68" w:rsidRPr="00FC093C">
        <w:rPr>
          <w:rFonts w:ascii="Consolas" w:hAnsi="Consolas"/>
          <w:sz w:val="18"/>
          <w:szCs w:val="18"/>
        </w:rPr>
        <w:t>Level End (silver)</w:t>
      </w:r>
      <w:r w:rsidR="00DB7E68">
        <w:t>.</w:t>
      </w:r>
    </w:p>
    <w:p w14:paraId="187F5A84" w14:textId="1B6B6505" w:rsidR="0030643A" w:rsidRDefault="00DB7E68" w:rsidP="00DB7E68">
      <w:r>
        <w:t>The relabeling was done because most of the sequences were level-dependent, that is, a majority of some sequences appeared on</w:t>
      </w:r>
      <w:r w:rsidR="00B9107E">
        <w:t xml:space="preserve"> only</w:t>
      </w:r>
      <w:r>
        <w:t xml:space="preserve"> one or two levels. By relabeling based on correctness, we were able to ensure level-independence among sequences. </w:t>
      </w:r>
      <w:r w:rsidR="00697C7F">
        <w:t>Sequences were tabulated and their frequencies calculated (i.e.</w:t>
      </w:r>
      <w:r w:rsidR="008400DC">
        <w:t>,</w:t>
      </w:r>
      <w:r w:rsidR="00697C7F">
        <w:t xml:space="preserve"> how many times </w:t>
      </w:r>
      <w:r w:rsidR="008400DC">
        <w:t>each of the</w:t>
      </w:r>
      <w:r w:rsidR="00697C7F">
        <w:t xml:space="preserve"> 49 students traversed each of the sequences). </w:t>
      </w:r>
      <w:r w:rsidR="00AC29CC">
        <w:t xml:space="preserve">We </w:t>
      </w:r>
      <w:r w:rsidR="002916EF">
        <w:t xml:space="preserve">calculated for </w:t>
      </w:r>
      <w:r w:rsidR="00AC29CC">
        <w:t xml:space="preserve">distribution of </w:t>
      </w:r>
      <w:r w:rsidR="002916EF">
        <w:t xml:space="preserve">sequence </w:t>
      </w:r>
      <w:r w:rsidR="00AC29CC">
        <w:t>frequencies, and the sequences we found to occur rarely (i.e., less than 30</w:t>
      </w:r>
      <w:r w:rsidR="004C5769">
        <w:t>% of the population traversed them</w:t>
      </w:r>
      <w:r w:rsidR="00AC29CC">
        <w:t>) were dropped from the analysis.</w:t>
      </w:r>
      <w:r w:rsidR="00C054F2">
        <w:t xml:space="preserve"> We found that the gold sequences occurred rarely, which was another reason they were dropped from the analysis.</w:t>
      </w:r>
      <w:r w:rsidR="00AC29CC">
        <w:t xml:space="preserve"> </w:t>
      </w:r>
      <w:r w:rsidR="00697C7F">
        <w:t xml:space="preserve">The resulting </w:t>
      </w:r>
      <w:r w:rsidR="00B963A1">
        <w:t>silver</w:t>
      </w:r>
      <w:r w:rsidR="00D63F52">
        <w:t xml:space="preserve"> and unsolved</w:t>
      </w:r>
      <w:r w:rsidR="00B963A1">
        <w:t xml:space="preserve"> </w:t>
      </w:r>
      <w:r w:rsidR="00B9107E">
        <w:t xml:space="preserve">sequences </w:t>
      </w:r>
      <w:r w:rsidR="00697C7F">
        <w:t xml:space="preserve">can be found in </w:t>
      </w:r>
      <w:r w:rsidR="00246001">
        <w:t xml:space="preserve">Tables </w:t>
      </w:r>
      <w:r w:rsidR="00A461D6">
        <w:t>1</w:t>
      </w:r>
      <w:r w:rsidR="00D63F52">
        <w:t xml:space="preserve"> and 2</w:t>
      </w:r>
      <w:r w:rsidR="00246001">
        <w:t>, respectively</w:t>
      </w:r>
      <w:r w:rsidR="00AC29CC">
        <w:t>, along with the frequency means and standard deviations</w:t>
      </w:r>
      <w:r w:rsidR="00DD4C6E">
        <w:t>.</w:t>
      </w:r>
    </w:p>
    <w:p w14:paraId="68C02DA7" w14:textId="77777777" w:rsidR="00D63F52" w:rsidRPr="009B1D59" w:rsidRDefault="00623017" w:rsidP="0019191A">
      <w:pPr>
        <w:rPr>
          <w:lang w:val="en-GB"/>
        </w:rPr>
      </w:pPr>
      <w:r>
        <w:t xml:space="preserve">Table </w:t>
      </w:r>
      <w:r w:rsidR="00A461D6">
        <w:t>1</w:t>
      </w:r>
      <w:r w:rsidR="0064474D">
        <w:t xml:space="preserve"> </w:t>
      </w:r>
      <w:r>
        <w:t xml:space="preserve">lists the </w:t>
      </w:r>
      <w:r w:rsidR="000265CD">
        <w:t xml:space="preserve">top </w:t>
      </w:r>
      <w:r w:rsidR="00D63F52">
        <w:t xml:space="preserve">7 silver </w:t>
      </w:r>
      <w:r w:rsidR="00B9107E">
        <w:t>sequences</w:t>
      </w:r>
      <w:r>
        <w:t xml:space="preserve"> within </w:t>
      </w:r>
      <w:r w:rsidR="00B5070C">
        <w:t>PP</w:t>
      </w:r>
      <w:r w:rsidR="00C054F2">
        <w:t>, which were traversed by more than 30% of the study’s population</w:t>
      </w:r>
      <w:r>
        <w:t xml:space="preserve">. The </w:t>
      </w:r>
      <w:r w:rsidR="00B9107E">
        <w:t>Sequences</w:t>
      </w:r>
      <w:r>
        <w:t xml:space="preserve"> column shows what the respective </w:t>
      </w:r>
      <w:r w:rsidR="00B9107E">
        <w:t xml:space="preserve">sequences </w:t>
      </w:r>
      <w:r>
        <w:t xml:space="preserve">look like, and the Frequency column shows </w:t>
      </w:r>
      <w:r w:rsidR="000265CD">
        <w:t xml:space="preserve">the average number of </w:t>
      </w:r>
      <w:r>
        <w:t>times the 49 students traversed them</w:t>
      </w:r>
      <w:r w:rsidR="000265CD">
        <w:t xml:space="preserve"> and the standard deviations</w:t>
      </w:r>
      <w:r>
        <w:t xml:space="preserve">. </w:t>
      </w:r>
      <w:r w:rsidR="00792BFF">
        <w:lastRenderedPageBreak/>
        <w:t xml:space="preserve">Highlighted sequences showed significant correlations with either boredom or confusion, as discussed further in Section 3.2. </w:t>
      </w:r>
      <w:r>
        <w:t xml:space="preserve">Table </w:t>
      </w:r>
      <w:r w:rsidR="00A461D6">
        <w:t>2</w:t>
      </w:r>
      <w:r w:rsidR="00D63F52">
        <w:t xml:space="preserve"> is</w:t>
      </w:r>
      <w:r>
        <w:t xml:space="preserve"> presented in the same manner.</w:t>
      </w:r>
    </w:p>
    <w:p w14:paraId="2FA4463F" w14:textId="77777777" w:rsidR="00D63F52" w:rsidRPr="009B1D59" w:rsidRDefault="0030643A" w:rsidP="00D63F52">
      <w:pPr>
        <w:pStyle w:val="tabletitle"/>
        <w:spacing w:after="240"/>
        <w:jc w:val="center"/>
        <w:rPr>
          <w:lang w:val="en-GB"/>
        </w:rPr>
      </w:pPr>
      <w:proofErr w:type="gramStart"/>
      <w:r w:rsidRPr="009B1D59">
        <w:rPr>
          <w:b/>
          <w:lang w:val="en-GB"/>
        </w:rPr>
        <w:t xml:space="preserve">Table </w:t>
      </w:r>
      <w:proofErr w:type="gramEnd"/>
      <w:r w:rsidR="003E4768">
        <w:rPr>
          <w:b/>
        </w:rPr>
        <w:fldChar w:fldCharType="begin"/>
      </w:r>
      <w:r w:rsidRPr="009B1D59">
        <w:rPr>
          <w:b/>
          <w:lang w:val="en-GB"/>
        </w:rPr>
        <w:instrText xml:space="preserve"> SEQ Table \n </w:instrText>
      </w:r>
      <w:r w:rsidR="003E4768">
        <w:rPr>
          <w:b/>
        </w:rPr>
        <w:fldChar w:fldCharType="separate"/>
      </w:r>
      <w:r w:rsidR="004E19EC">
        <w:rPr>
          <w:b/>
          <w:noProof/>
          <w:lang w:val="en-GB"/>
        </w:rPr>
        <w:t>1</w:t>
      </w:r>
      <w:r w:rsidR="003E4768">
        <w:rPr>
          <w:b/>
        </w:rPr>
        <w:fldChar w:fldCharType="end"/>
      </w:r>
      <w:proofErr w:type="gramStart"/>
      <w:r w:rsidRPr="009B1D59">
        <w:rPr>
          <w:b/>
          <w:lang w:val="en-GB"/>
        </w:rPr>
        <w:t>.</w:t>
      </w:r>
      <w:proofErr w:type="gramEnd"/>
      <w:r w:rsidRPr="009B1D59">
        <w:rPr>
          <w:lang w:val="en-GB"/>
        </w:rPr>
        <w:t xml:space="preserve"> </w:t>
      </w:r>
      <w:r>
        <w:rPr>
          <w:lang w:val="en-GB"/>
        </w:rPr>
        <w:t xml:space="preserve"> </w:t>
      </w:r>
      <w:r w:rsidR="00D63F52">
        <w:rPr>
          <w:szCs w:val="18"/>
          <w:lang w:val="en-US"/>
        </w:rPr>
        <w:t>Top 7 silver sequences, their traversal frequency means, and standard deviations</w:t>
      </w:r>
      <w:r w:rsidR="00D63F52" w:rsidRPr="009B1D59">
        <w:rPr>
          <w:szCs w:val="18"/>
          <w:lang w:val="en-US"/>
        </w:rPr>
        <w:t>.</w:t>
      </w:r>
    </w:p>
    <w:tbl>
      <w:tblPr>
        <w:tblStyle w:val="TableGrid"/>
        <w:tblW w:w="6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
        <w:gridCol w:w="3988"/>
        <w:gridCol w:w="900"/>
        <w:gridCol w:w="850"/>
      </w:tblGrid>
      <w:tr w:rsidR="00D63F52" w14:paraId="20999490" w14:textId="77777777" w:rsidTr="00D63F52">
        <w:trPr>
          <w:trHeight w:val="248"/>
          <w:jc w:val="center"/>
        </w:trPr>
        <w:tc>
          <w:tcPr>
            <w:tcW w:w="385" w:type="dxa"/>
            <w:tcBorders>
              <w:top w:val="single" w:sz="4" w:space="0" w:color="auto"/>
            </w:tcBorders>
          </w:tcPr>
          <w:p w14:paraId="4C27ABEA" w14:textId="77777777" w:rsidR="00D63F52" w:rsidRDefault="00D63F52" w:rsidP="00D63F52">
            <w:pPr>
              <w:ind w:firstLine="0"/>
            </w:pPr>
          </w:p>
        </w:tc>
        <w:tc>
          <w:tcPr>
            <w:tcW w:w="3988" w:type="dxa"/>
            <w:vMerge w:val="restart"/>
            <w:tcBorders>
              <w:top w:val="single" w:sz="4" w:space="0" w:color="auto"/>
            </w:tcBorders>
            <w:vAlign w:val="center"/>
          </w:tcPr>
          <w:p w14:paraId="28FAFF5C" w14:textId="77777777" w:rsidR="00D63F52" w:rsidRDefault="00D63F52" w:rsidP="00D63F52">
            <w:pPr>
              <w:ind w:firstLine="0"/>
              <w:jc w:val="center"/>
            </w:pPr>
            <w:r>
              <w:t>Sequences</w:t>
            </w:r>
          </w:p>
        </w:tc>
        <w:tc>
          <w:tcPr>
            <w:tcW w:w="1750" w:type="dxa"/>
            <w:gridSpan w:val="2"/>
            <w:tcBorders>
              <w:top w:val="single" w:sz="4" w:space="0" w:color="auto"/>
            </w:tcBorders>
          </w:tcPr>
          <w:p w14:paraId="40232D9C" w14:textId="77777777" w:rsidR="00D63F52" w:rsidRDefault="00D63F52" w:rsidP="00D63F52">
            <w:pPr>
              <w:ind w:firstLine="0"/>
              <w:jc w:val="center"/>
            </w:pPr>
            <w:r>
              <w:t>Frequency</w:t>
            </w:r>
          </w:p>
        </w:tc>
      </w:tr>
      <w:tr w:rsidR="00D63F52" w14:paraId="4F8521B6" w14:textId="77777777" w:rsidTr="00D63F52">
        <w:trPr>
          <w:trHeight w:val="248"/>
          <w:jc w:val="center"/>
        </w:trPr>
        <w:tc>
          <w:tcPr>
            <w:tcW w:w="385" w:type="dxa"/>
            <w:tcBorders>
              <w:bottom w:val="single" w:sz="4" w:space="0" w:color="auto"/>
            </w:tcBorders>
          </w:tcPr>
          <w:p w14:paraId="3EE51874" w14:textId="77777777" w:rsidR="00D63F52" w:rsidRDefault="00D63F52" w:rsidP="00D63F52">
            <w:pPr>
              <w:ind w:firstLine="0"/>
            </w:pPr>
          </w:p>
        </w:tc>
        <w:tc>
          <w:tcPr>
            <w:tcW w:w="3988" w:type="dxa"/>
            <w:vMerge/>
            <w:tcBorders>
              <w:bottom w:val="single" w:sz="4" w:space="0" w:color="auto"/>
            </w:tcBorders>
          </w:tcPr>
          <w:p w14:paraId="75E7E032" w14:textId="77777777" w:rsidR="00D63F52" w:rsidRDefault="00D63F52" w:rsidP="00D63F52">
            <w:pPr>
              <w:ind w:firstLine="0"/>
              <w:jc w:val="center"/>
            </w:pPr>
          </w:p>
        </w:tc>
        <w:tc>
          <w:tcPr>
            <w:tcW w:w="900" w:type="dxa"/>
            <w:tcBorders>
              <w:bottom w:val="single" w:sz="4" w:space="0" w:color="auto"/>
            </w:tcBorders>
          </w:tcPr>
          <w:p w14:paraId="5B90D7FF" w14:textId="77777777" w:rsidR="00D63F52" w:rsidRDefault="00D63F52" w:rsidP="00D63F52">
            <w:pPr>
              <w:ind w:firstLine="0"/>
              <w:jc w:val="center"/>
            </w:pPr>
            <w:r>
              <w:t>Mean</w:t>
            </w:r>
          </w:p>
        </w:tc>
        <w:tc>
          <w:tcPr>
            <w:tcW w:w="850" w:type="dxa"/>
            <w:tcBorders>
              <w:bottom w:val="single" w:sz="4" w:space="0" w:color="auto"/>
            </w:tcBorders>
          </w:tcPr>
          <w:p w14:paraId="5EBB38F6" w14:textId="77777777" w:rsidR="00D63F52" w:rsidDel="009D68A3" w:rsidRDefault="00D63F52" w:rsidP="00D63F52">
            <w:pPr>
              <w:ind w:firstLine="0"/>
              <w:jc w:val="center"/>
            </w:pPr>
            <w:r>
              <w:t>SD</w:t>
            </w:r>
          </w:p>
        </w:tc>
      </w:tr>
      <w:tr w:rsidR="00D63F52" w14:paraId="586682F6" w14:textId="77777777" w:rsidTr="00D63F52">
        <w:trPr>
          <w:trHeight w:val="248"/>
          <w:jc w:val="center"/>
        </w:trPr>
        <w:tc>
          <w:tcPr>
            <w:tcW w:w="385" w:type="dxa"/>
            <w:tcBorders>
              <w:top w:val="single" w:sz="4" w:space="0" w:color="auto"/>
            </w:tcBorders>
            <w:shd w:val="clear" w:color="auto" w:fill="auto"/>
          </w:tcPr>
          <w:p w14:paraId="416B35FC" w14:textId="77777777" w:rsidR="00D63F52" w:rsidRDefault="00D63F52" w:rsidP="00D63F52">
            <w:pPr>
              <w:ind w:firstLine="0"/>
            </w:pPr>
            <w:r>
              <w:t>1</w:t>
            </w:r>
          </w:p>
        </w:tc>
        <w:tc>
          <w:tcPr>
            <w:tcW w:w="3988" w:type="dxa"/>
            <w:tcBorders>
              <w:top w:val="single" w:sz="4" w:space="0" w:color="auto"/>
            </w:tcBorders>
            <w:shd w:val="clear" w:color="auto" w:fill="auto"/>
          </w:tcPr>
          <w:p w14:paraId="4902C97B" w14:textId="77777777" w:rsidR="00D63F52" w:rsidRPr="0030643A" w:rsidRDefault="00D63F52" w:rsidP="00D63F52">
            <w:pPr>
              <w:ind w:firstLine="0"/>
              <w:rPr>
                <w:rFonts w:ascii="Consolas" w:hAnsi="Consolas"/>
                <w:sz w:val="18"/>
                <w:szCs w:val="18"/>
              </w:rPr>
            </w:pPr>
            <w:r>
              <w:rPr>
                <w:rFonts w:ascii="Consolas" w:hAnsi="Consolas"/>
                <w:sz w:val="18"/>
                <w:szCs w:val="18"/>
              </w:rPr>
              <w:t>correct&gt;</w:t>
            </w:r>
            <w:r w:rsidRPr="0030643A">
              <w:rPr>
                <w:rFonts w:ascii="Consolas" w:hAnsi="Consolas"/>
                <w:sz w:val="18"/>
                <w:szCs w:val="18"/>
              </w:rPr>
              <w:t>Level End (</w:t>
            </w:r>
            <w:r>
              <w:rPr>
                <w:rFonts w:ascii="Consolas" w:hAnsi="Consolas"/>
                <w:sz w:val="18"/>
                <w:szCs w:val="18"/>
              </w:rPr>
              <w:t>silver</w:t>
            </w:r>
            <w:r w:rsidRPr="0030643A">
              <w:rPr>
                <w:rFonts w:ascii="Consolas" w:hAnsi="Consolas"/>
                <w:sz w:val="18"/>
                <w:szCs w:val="18"/>
              </w:rPr>
              <w:t>)</w:t>
            </w:r>
          </w:p>
        </w:tc>
        <w:tc>
          <w:tcPr>
            <w:tcW w:w="900" w:type="dxa"/>
            <w:tcBorders>
              <w:top w:val="single" w:sz="4" w:space="0" w:color="auto"/>
            </w:tcBorders>
            <w:shd w:val="clear" w:color="auto" w:fill="auto"/>
          </w:tcPr>
          <w:p w14:paraId="0AF851B9" w14:textId="77777777" w:rsidR="00D63F52" w:rsidRDefault="00D63F52" w:rsidP="00D63F52">
            <w:r>
              <w:t>3.53</w:t>
            </w:r>
          </w:p>
        </w:tc>
        <w:tc>
          <w:tcPr>
            <w:tcW w:w="850" w:type="dxa"/>
            <w:tcBorders>
              <w:top w:val="single" w:sz="4" w:space="0" w:color="auto"/>
            </w:tcBorders>
            <w:shd w:val="clear" w:color="auto" w:fill="auto"/>
          </w:tcPr>
          <w:p w14:paraId="7363D81B" w14:textId="77777777" w:rsidR="00D63F52" w:rsidRDefault="00D63F52" w:rsidP="00D63F52">
            <w:r>
              <w:t>2.34</w:t>
            </w:r>
          </w:p>
        </w:tc>
      </w:tr>
      <w:tr w:rsidR="00D63F52" w14:paraId="0B4C6E56" w14:textId="77777777" w:rsidTr="00D63F52">
        <w:trPr>
          <w:trHeight w:val="266"/>
          <w:jc w:val="center"/>
        </w:trPr>
        <w:tc>
          <w:tcPr>
            <w:tcW w:w="385" w:type="dxa"/>
          </w:tcPr>
          <w:p w14:paraId="6FBAFAA5" w14:textId="77777777" w:rsidR="00D63F52" w:rsidRDefault="00D63F52" w:rsidP="00D63F52">
            <w:pPr>
              <w:ind w:firstLine="0"/>
            </w:pPr>
            <w:r>
              <w:t>2</w:t>
            </w:r>
          </w:p>
        </w:tc>
        <w:tc>
          <w:tcPr>
            <w:tcW w:w="3988" w:type="dxa"/>
          </w:tcPr>
          <w:p w14:paraId="732E7FA1" w14:textId="77777777" w:rsidR="00D63F52" w:rsidRPr="0030643A" w:rsidRDefault="00D63F52" w:rsidP="00D63F52">
            <w:pPr>
              <w:ind w:firstLine="0"/>
              <w:rPr>
                <w:rFonts w:ascii="Consolas" w:hAnsi="Consolas"/>
                <w:sz w:val="18"/>
                <w:szCs w:val="18"/>
              </w:rPr>
            </w:pPr>
            <w:r w:rsidRPr="0030643A">
              <w:rPr>
                <w:rFonts w:ascii="Consolas" w:hAnsi="Consolas"/>
                <w:sz w:val="18"/>
                <w:szCs w:val="18"/>
              </w:rPr>
              <w:t>Level End (</w:t>
            </w:r>
            <w:r>
              <w:rPr>
                <w:rFonts w:ascii="Consolas" w:hAnsi="Consolas"/>
                <w:sz w:val="18"/>
                <w:szCs w:val="18"/>
              </w:rPr>
              <w:t>silver</w:t>
            </w:r>
            <w:r w:rsidRPr="0030643A">
              <w:rPr>
                <w:rFonts w:ascii="Consolas" w:hAnsi="Consolas"/>
                <w:sz w:val="18"/>
                <w:szCs w:val="18"/>
              </w:rPr>
              <w:t>)</w:t>
            </w:r>
          </w:p>
        </w:tc>
        <w:tc>
          <w:tcPr>
            <w:tcW w:w="900" w:type="dxa"/>
          </w:tcPr>
          <w:p w14:paraId="59E32EB6" w14:textId="77777777" w:rsidR="00D63F52" w:rsidRDefault="00D63F52" w:rsidP="00D63F52">
            <w:r>
              <w:t>2.61</w:t>
            </w:r>
          </w:p>
        </w:tc>
        <w:tc>
          <w:tcPr>
            <w:tcW w:w="850" w:type="dxa"/>
          </w:tcPr>
          <w:p w14:paraId="7B83D341" w14:textId="77777777" w:rsidR="00D63F52" w:rsidRDefault="00D63F52" w:rsidP="00D63F52">
            <w:r>
              <w:t>2.33</w:t>
            </w:r>
          </w:p>
        </w:tc>
      </w:tr>
      <w:tr w:rsidR="00D63F52" w14:paraId="7C29A658" w14:textId="77777777" w:rsidTr="00D63F52">
        <w:trPr>
          <w:trHeight w:val="266"/>
          <w:jc w:val="center"/>
        </w:trPr>
        <w:tc>
          <w:tcPr>
            <w:tcW w:w="385" w:type="dxa"/>
            <w:shd w:val="clear" w:color="auto" w:fill="EEECE1" w:themeFill="background2"/>
          </w:tcPr>
          <w:p w14:paraId="0E318754" w14:textId="77777777" w:rsidR="00D63F52" w:rsidRDefault="00D63F52" w:rsidP="00D63F52">
            <w:pPr>
              <w:ind w:firstLine="0"/>
            </w:pPr>
            <w:r>
              <w:t>3</w:t>
            </w:r>
          </w:p>
        </w:tc>
        <w:tc>
          <w:tcPr>
            <w:tcW w:w="3988" w:type="dxa"/>
            <w:shd w:val="clear" w:color="auto" w:fill="EEECE1" w:themeFill="background2"/>
          </w:tcPr>
          <w:p w14:paraId="1D2149D4" w14:textId="77777777" w:rsidR="00D63F52" w:rsidRPr="0030643A" w:rsidRDefault="00D63F52" w:rsidP="00D63F52">
            <w:pPr>
              <w:ind w:firstLine="0"/>
              <w:rPr>
                <w:rFonts w:ascii="Consolas" w:hAnsi="Consolas"/>
                <w:sz w:val="18"/>
                <w:szCs w:val="18"/>
              </w:rPr>
            </w:pPr>
            <w:r>
              <w:rPr>
                <w:rFonts w:ascii="Consolas" w:hAnsi="Consolas"/>
                <w:sz w:val="18"/>
                <w:szCs w:val="18"/>
              </w:rPr>
              <w:t>wrong</w:t>
            </w:r>
            <w:r w:rsidRPr="0030643A">
              <w:rPr>
                <w:rFonts w:ascii="Consolas" w:hAnsi="Consolas"/>
                <w:sz w:val="18"/>
                <w:szCs w:val="18"/>
              </w:rPr>
              <w:t>&gt;Level End (</w:t>
            </w:r>
            <w:r>
              <w:rPr>
                <w:rFonts w:ascii="Consolas" w:hAnsi="Consolas"/>
                <w:sz w:val="18"/>
                <w:szCs w:val="18"/>
              </w:rPr>
              <w:t>silver</w:t>
            </w:r>
            <w:r w:rsidRPr="0030643A">
              <w:rPr>
                <w:rFonts w:ascii="Consolas" w:hAnsi="Consolas"/>
                <w:sz w:val="18"/>
                <w:szCs w:val="18"/>
              </w:rPr>
              <w:t>)</w:t>
            </w:r>
          </w:p>
        </w:tc>
        <w:tc>
          <w:tcPr>
            <w:tcW w:w="900" w:type="dxa"/>
            <w:shd w:val="clear" w:color="auto" w:fill="EEECE1" w:themeFill="background2"/>
          </w:tcPr>
          <w:p w14:paraId="211A1938" w14:textId="77777777" w:rsidR="00D63F52" w:rsidRDefault="00D63F52" w:rsidP="00D63F52">
            <w:r>
              <w:t>1.90</w:t>
            </w:r>
          </w:p>
        </w:tc>
        <w:tc>
          <w:tcPr>
            <w:tcW w:w="850" w:type="dxa"/>
            <w:shd w:val="clear" w:color="auto" w:fill="EEECE1" w:themeFill="background2"/>
          </w:tcPr>
          <w:p w14:paraId="01462C99" w14:textId="77777777" w:rsidR="00D63F52" w:rsidRDefault="00D63F52" w:rsidP="00D63F52">
            <w:r>
              <w:t>1.37</w:t>
            </w:r>
          </w:p>
        </w:tc>
      </w:tr>
      <w:tr w:rsidR="00D63F52" w14:paraId="7BE1C741" w14:textId="77777777" w:rsidTr="00D63F52">
        <w:trPr>
          <w:trHeight w:val="266"/>
          <w:jc w:val="center"/>
        </w:trPr>
        <w:tc>
          <w:tcPr>
            <w:tcW w:w="385" w:type="dxa"/>
          </w:tcPr>
          <w:p w14:paraId="64DF8A15" w14:textId="77777777" w:rsidR="00D63F52" w:rsidRDefault="00D63F52" w:rsidP="00D63F52">
            <w:pPr>
              <w:ind w:firstLine="0"/>
            </w:pPr>
            <w:r>
              <w:t>4</w:t>
            </w:r>
          </w:p>
        </w:tc>
        <w:tc>
          <w:tcPr>
            <w:tcW w:w="3988" w:type="dxa"/>
          </w:tcPr>
          <w:p w14:paraId="6EC146A1" w14:textId="77777777" w:rsidR="00D63F52" w:rsidRPr="0030643A" w:rsidRDefault="00D63F52" w:rsidP="00D63F52">
            <w:pPr>
              <w:ind w:firstLine="0"/>
              <w:rPr>
                <w:rFonts w:ascii="Consolas" w:hAnsi="Consolas"/>
                <w:sz w:val="18"/>
                <w:szCs w:val="18"/>
              </w:rPr>
            </w:pPr>
            <w:r>
              <w:rPr>
                <w:rFonts w:ascii="Consolas" w:hAnsi="Consolas"/>
                <w:sz w:val="18"/>
                <w:szCs w:val="18"/>
              </w:rPr>
              <w:t>correct</w:t>
            </w:r>
            <w:r w:rsidRPr="0030643A">
              <w:rPr>
                <w:rFonts w:ascii="Consolas" w:hAnsi="Consolas"/>
                <w:sz w:val="18"/>
                <w:szCs w:val="18"/>
              </w:rPr>
              <w:t>&gt;</w:t>
            </w:r>
            <w:r>
              <w:rPr>
                <w:rFonts w:ascii="Consolas" w:hAnsi="Consolas"/>
                <w:sz w:val="18"/>
                <w:szCs w:val="18"/>
              </w:rPr>
              <w:t>correct</w:t>
            </w:r>
            <w:r w:rsidRPr="0030643A">
              <w:rPr>
                <w:rFonts w:ascii="Consolas" w:hAnsi="Consolas"/>
                <w:sz w:val="18"/>
                <w:szCs w:val="18"/>
              </w:rPr>
              <w:t>&gt;Level End (</w:t>
            </w:r>
            <w:r>
              <w:rPr>
                <w:rFonts w:ascii="Consolas" w:hAnsi="Consolas"/>
                <w:sz w:val="18"/>
                <w:szCs w:val="18"/>
              </w:rPr>
              <w:t>silver</w:t>
            </w:r>
            <w:r w:rsidRPr="0030643A">
              <w:rPr>
                <w:rFonts w:ascii="Consolas" w:hAnsi="Consolas"/>
                <w:sz w:val="18"/>
                <w:szCs w:val="18"/>
              </w:rPr>
              <w:t>)</w:t>
            </w:r>
          </w:p>
        </w:tc>
        <w:tc>
          <w:tcPr>
            <w:tcW w:w="900" w:type="dxa"/>
          </w:tcPr>
          <w:p w14:paraId="07BF8A20" w14:textId="77777777" w:rsidR="00D63F52" w:rsidRDefault="00D63F52" w:rsidP="00D63F52">
            <w:r>
              <w:t>1.61</w:t>
            </w:r>
          </w:p>
        </w:tc>
        <w:tc>
          <w:tcPr>
            <w:tcW w:w="850" w:type="dxa"/>
          </w:tcPr>
          <w:p w14:paraId="5A229603" w14:textId="77777777" w:rsidR="00D63F52" w:rsidRDefault="00D63F52" w:rsidP="00D63F52">
            <w:r>
              <w:t>1.15</w:t>
            </w:r>
          </w:p>
        </w:tc>
      </w:tr>
      <w:tr w:rsidR="00D63F52" w14:paraId="61E91D33" w14:textId="77777777" w:rsidTr="00D63F52">
        <w:trPr>
          <w:trHeight w:val="284"/>
          <w:jc w:val="center"/>
        </w:trPr>
        <w:tc>
          <w:tcPr>
            <w:tcW w:w="385" w:type="dxa"/>
          </w:tcPr>
          <w:p w14:paraId="1FA60479" w14:textId="77777777" w:rsidR="00D63F52" w:rsidRDefault="00D63F52" w:rsidP="00D63F52">
            <w:pPr>
              <w:ind w:firstLine="0"/>
            </w:pPr>
            <w:r>
              <w:t>5</w:t>
            </w:r>
          </w:p>
        </w:tc>
        <w:tc>
          <w:tcPr>
            <w:tcW w:w="3988" w:type="dxa"/>
          </w:tcPr>
          <w:p w14:paraId="3F06532D" w14:textId="77777777" w:rsidR="00D63F52" w:rsidRPr="0030643A" w:rsidRDefault="00D63F52" w:rsidP="00D63F52">
            <w:pPr>
              <w:ind w:firstLine="0"/>
              <w:rPr>
                <w:rFonts w:ascii="Consolas" w:hAnsi="Consolas"/>
                <w:sz w:val="18"/>
                <w:szCs w:val="18"/>
              </w:rPr>
            </w:pPr>
            <w:r>
              <w:rPr>
                <w:rFonts w:ascii="Consolas" w:hAnsi="Consolas"/>
                <w:sz w:val="18"/>
                <w:szCs w:val="18"/>
              </w:rPr>
              <w:t>wrong</w:t>
            </w:r>
            <w:r w:rsidRPr="0030643A">
              <w:rPr>
                <w:rFonts w:ascii="Consolas" w:hAnsi="Consolas"/>
                <w:sz w:val="18"/>
                <w:szCs w:val="18"/>
              </w:rPr>
              <w:t>&gt;correct&gt;Level End (</w:t>
            </w:r>
            <w:r>
              <w:rPr>
                <w:rFonts w:ascii="Consolas" w:hAnsi="Consolas"/>
                <w:sz w:val="18"/>
                <w:szCs w:val="18"/>
              </w:rPr>
              <w:t>silver</w:t>
            </w:r>
            <w:r w:rsidRPr="0030643A">
              <w:rPr>
                <w:rFonts w:ascii="Consolas" w:hAnsi="Consolas"/>
                <w:sz w:val="18"/>
                <w:szCs w:val="18"/>
              </w:rPr>
              <w:t>)</w:t>
            </w:r>
          </w:p>
        </w:tc>
        <w:tc>
          <w:tcPr>
            <w:tcW w:w="900" w:type="dxa"/>
          </w:tcPr>
          <w:p w14:paraId="70B1A82E" w14:textId="77777777" w:rsidR="00D63F52" w:rsidRDefault="00D63F52" w:rsidP="00D63F52">
            <w:r>
              <w:t>0.90</w:t>
            </w:r>
          </w:p>
        </w:tc>
        <w:tc>
          <w:tcPr>
            <w:tcW w:w="850" w:type="dxa"/>
          </w:tcPr>
          <w:p w14:paraId="6A8DEDCF" w14:textId="77777777" w:rsidR="00D63F52" w:rsidRDefault="00D63F52" w:rsidP="00D63F52">
            <w:r>
              <w:t>1.01</w:t>
            </w:r>
          </w:p>
        </w:tc>
      </w:tr>
      <w:tr w:rsidR="00D63F52" w14:paraId="7F1E8FDB" w14:textId="77777777" w:rsidTr="00D63F52">
        <w:trPr>
          <w:trHeight w:val="266"/>
          <w:jc w:val="center"/>
        </w:trPr>
        <w:tc>
          <w:tcPr>
            <w:tcW w:w="385" w:type="dxa"/>
            <w:shd w:val="clear" w:color="auto" w:fill="EEECE1" w:themeFill="background2"/>
          </w:tcPr>
          <w:p w14:paraId="47122929" w14:textId="77777777" w:rsidR="00D63F52" w:rsidRDefault="00D63F52" w:rsidP="00D63F52">
            <w:pPr>
              <w:ind w:firstLine="0"/>
            </w:pPr>
            <w:r>
              <w:t>6</w:t>
            </w:r>
          </w:p>
        </w:tc>
        <w:tc>
          <w:tcPr>
            <w:tcW w:w="3988" w:type="dxa"/>
            <w:shd w:val="clear" w:color="auto" w:fill="EEECE1" w:themeFill="background2"/>
          </w:tcPr>
          <w:p w14:paraId="1EC1D87F" w14:textId="77777777" w:rsidR="00D63F52" w:rsidRPr="0030643A" w:rsidRDefault="00D63F52" w:rsidP="00D63F52">
            <w:pPr>
              <w:ind w:firstLine="0"/>
              <w:rPr>
                <w:rFonts w:ascii="Consolas" w:hAnsi="Consolas"/>
                <w:sz w:val="18"/>
                <w:szCs w:val="18"/>
              </w:rPr>
            </w:pPr>
            <w:r w:rsidRPr="003E1B62">
              <w:rPr>
                <w:rFonts w:ascii="Consolas" w:hAnsi="Consolas"/>
                <w:sz w:val="16"/>
                <w:szCs w:val="17"/>
              </w:rPr>
              <w:t>correct&gt;correct&gt;correct&gt;Level End (silver)</w:t>
            </w:r>
          </w:p>
        </w:tc>
        <w:tc>
          <w:tcPr>
            <w:tcW w:w="900" w:type="dxa"/>
            <w:shd w:val="clear" w:color="auto" w:fill="EEECE1" w:themeFill="background2"/>
          </w:tcPr>
          <w:p w14:paraId="0D9B485F" w14:textId="77777777" w:rsidR="00D63F52" w:rsidRDefault="00D63F52" w:rsidP="00D63F52">
            <w:r>
              <w:t>0.80</w:t>
            </w:r>
          </w:p>
        </w:tc>
        <w:tc>
          <w:tcPr>
            <w:tcW w:w="850" w:type="dxa"/>
            <w:shd w:val="clear" w:color="auto" w:fill="EEECE1" w:themeFill="background2"/>
          </w:tcPr>
          <w:p w14:paraId="19341BE3" w14:textId="77777777" w:rsidR="00D63F52" w:rsidRDefault="00D63F52" w:rsidP="00D63F52">
            <w:r>
              <w:t>1.00</w:t>
            </w:r>
          </w:p>
        </w:tc>
      </w:tr>
      <w:tr w:rsidR="00D63F52" w14:paraId="0B5B4831" w14:textId="77777777" w:rsidTr="00D63F52">
        <w:trPr>
          <w:trHeight w:val="266"/>
          <w:jc w:val="center"/>
        </w:trPr>
        <w:tc>
          <w:tcPr>
            <w:tcW w:w="385" w:type="dxa"/>
            <w:tcBorders>
              <w:bottom w:val="single" w:sz="4" w:space="0" w:color="auto"/>
            </w:tcBorders>
            <w:shd w:val="clear" w:color="auto" w:fill="auto"/>
          </w:tcPr>
          <w:p w14:paraId="5281ADD5" w14:textId="77777777" w:rsidR="00D63F52" w:rsidRDefault="00D63F52" w:rsidP="00D63F52">
            <w:pPr>
              <w:ind w:firstLine="0"/>
            </w:pPr>
            <w:r>
              <w:t>7</w:t>
            </w:r>
          </w:p>
        </w:tc>
        <w:tc>
          <w:tcPr>
            <w:tcW w:w="3988" w:type="dxa"/>
            <w:tcBorders>
              <w:bottom w:val="single" w:sz="4" w:space="0" w:color="auto"/>
            </w:tcBorders>
            <w:shd w:val="clear" w:color="auto" w:fill="auto"/>
          </w:tcPr>
          <w:p w14:paraId="53F6A629" w14:textId="77777777" w:rsidR="00D63F52" w:rsidRPr="0030643A" w:rsidRDefault="00D63F52" w:rsidP="00D63F52">
            <w:pPr>
              <w:ind w:firstLine="0"/>
              <w:rPr>
                <w:rFonts w:ascii="Consolas" w:hAnsi="Consolas"/>
                <w:sz w:val="18"/>
                <w:szCs w:val="18"/>
              </w:rPr>
            </w:pPr>
            <w:r>
              <w:rPr>
                <w:rFonts w:ascii="Consolas" w:hAnsi="Consolas"/>
                <w:sz w:val="18"/>
                <w:szCs w:val="18"/>
              </w:rPr>
              <w:t>wrong</w:t>
            </w:r>
            <w:r w:rsidRPr="0030643A">
              <w:rPr>
                <w:rFonts w:ascii="Consolas" w:hAnsi="Consolas"/>
                <w:sz w:val="18"/>
                <w:szCs w:val="18"/>
              </w:rPr>
              <w:t>&gt;</w:t>
            </w:r>
            <w:r>
              <w:rPr>
                <w:rFonts w:ascii="Consolas" w:hAnsi="Consolas"/>
                <w:sz w:val="18"/>
                <w:szCs w:val="18"/>
              </w:rPr>
              <w:t>correct&gt;correct&gt;</w:t>
            </w:r>
            <w:r w:rsidRPr="003E1B62">
              <w:rPr>
                <w:rFonts w:ascii="Consolas" w:hAnsi="Consolas"/>
                <w:sz w:val="16"/>
                <w:szCs w:val="18"/>
              </w:rPr>
              <w:t>Level End (silver)</w:t>
            </w:r>
          </w:p>
        </w:tc>
        <w:tc>
          <w:tcPr>
            <w:tcW w:w="900" w:type="dxa"/>
            <w:tcBorders>
              <w:bottom w:val="single" w:sz="4" w:space="0" w:color="auto"/>
            </w:tcBorders>
            <w:shd w:val="clear" w:color="auto" w:fill="auto"/>
          </w:tcPr>
          <w:p w14:paraId="38514E4F" w14:textId="77777777" w:rsidR="00D63F52" w:rsidRDefault="00D63F52" w:rsidP="00D63F52">
            <w:pPr>
              <w:ind w:firstLine="0"/>
              <w:jc w:val="center"/>
            </w:pPr>
            <w:r>
              <w:t xml:space="preserve">   0.69</w:t>
            </w:r>
          </w:p>
        </w:tc>
        <w:tc>
          <w:tcPr>
            <w:tcW w:w="850" w:type="dxa"/>
            <w:tcBorders>
              <w:bottom w:val="single" w:sz="4" w:space="0" w:color="auto"/>
            </w:tcBorders>
            <w:shd w:val="clear" w:color="auto" w:fill="auto"/>
          </w:tcPr>
          <w:p w14:paraId="2235F741" w14:textId="77777777" w:rsidR="00D63F52" w:rsidRDefault="00D63F52" w:rsidP="00D63F52">
            <w:pPr>
              <w:ind w:firstLine="0"/>
              <w:jc w:val="center"/>
            </w:pPr>
            <w:r>
              <w:t xml:space="preserve">   0.77</w:t>
            </w:r>
          </w:p>
        </w:tc>
      </w:tr>
    </w:tbl>
    <w:p w14:paraId="47ED2F88" w14:textId="77777777" w:rsidR="00D63F52" w:rsidRPr="00657488" w:rsidRDefault="00D63F52" w:rsidP="00D63F52"/>
    <w:p w14:paraId="714542EE" w14:textId="77777777" w:rsidR="00D63F52" w:rsidRDefault="00D63F52" w:rsidP="00D63F52">
      <w:pPr>
        <w:ind w:firstLine="230"/>
      </w:pPr>
      <w:r>
        <w:t xml:space="preserve">The silver sequences in Table </w:t>
      </w:r>
      <w:r w:rsidR="00BE5963">
        <w:t>1</w:t>
      </w:r>
      <w:r>
        <w:t xml:space="preserve"> show signs of experimentation, with students playing around with the correct and incorrect agents to solve the levels, as seen in sequences 5 and 7. Sequences 1, 4, and 6 show students using the correct agents, but are unable to earn gold badges. This suggests that students, while knowing which agents to use, do not have a full grasp of the physics concepts surrounding the agents’ execution. Sequence 3 shows students using wrong objects to solve the levels. While this may suggest that students are still struggling to understand how the agents work and which agent would best solve a level given the ball and the balloon’s positions, this may have </w:t>
      </w:r>
      <w:r w:rsidR="00C054F2">
        <w:t xml:space="preserve">also </w:t>
      </w:r>
      <w:r>
        <w:t>been caused by the PP logger labeling the objects they drew as freeform objects, and not one of the correct agents.</w:t>
      </w:r>
    </w:p>
    <w:p w14:paraId="09258C17" w14:textId="77777777" w:rsidR="00D63F52" w:rsidRDefault="00D63F52" w:rsidP="0067358A">
      <w:pPr>
        <w:ind w:firstLine="230"/>
      </w:pPr>
      <w:proofErr w:type="gramStart"/>
      <w:r>
        <w:t>Sequence 1 shows the students drawing only the correct agent, but are</w:t>
      </w:r>
      <w:proofErr w:type="gramEnd"/>
      <w:r>
        <w:t xml:space="preserve"> still unable to earn a gold badge. The sequence-mining algorithm only pulled events related to drawing any of the four main agents, which are enumerated in Section 2.3. Drawing a lever or a springboard, for example, would require drawing more than one component. A lever requires the fulcrum, the board, and the object dropped on the board to project the ball upwards. In order for the agent to work, it has to be executed correctly (i.e., the board must be long enough, with the fulcrum in the right position, and the object dropped on the board must be heavy enough to propel the ball into the air). Sequence 1 may have been caused by students drawing the correct agent, but improperly executing it. For example, the student may not have drawn the right-sized weight to drop on the lever, and thus had to draw another. While drawing another weight to drop on the lever counts towards the level’s object count, it was not logged as a separate event by the sequence mining analysis because the player did not draw another agent, only a component of it. Sequence 2, on the other hand, is suspect because despite the student drawing no objects to solve a level, he </w:t>
      </w:r>
      <w:r w:rsidRPr="003570F5">
        <w:t xml:space="preserve">ends up with only a silver badge. This </w:t>
      </w:r>
      <w:r>
        <w:t>was most likely</w:t>
      </w:r>
      <w:r w:rsidRPr="003570F5">
        <w:t xml:space="preserve"> caused by the improper logging of the game. The top </w:t>
      </w:r>
      <w:r>
        <w:t>7</w:t>
      </w:r>
      <w:r w:rsidRPr="003570F5">
        <w:t xml:space="preserve"> most frequently traversed </w:t>
      </w:r>
      <w:r>
        <w:t>silver</w:t>
      </w:r>
      <w:r w:rsidRPr="003570F5">
        <w:t xml:space="preserve"> </w:t>
      </w:r>
      <w:r>
        <w:t>sequences</w:t>
      </w:r>
      <w:r w:rsidRPr="003570F5">
        <w:t xml:space="preserve"> account for </w:t>
      </w:r>
      <w:r>
        <w:t>58</w:t>
      </w:r>
      <w:r w:rsidRPr="003570F5">
        <w:t>% of the total number of silver sequences</w:t>
      </w:r>
      <w:r>
        <w:t>.</w:t>
      </w:r>
    </w:p>
    <w:p w14:paraId="007C09ED" w14:textId="77777777" w:rsidR="00246001" w:rsidRDefault="00246001" w:rsidP="00246001"/>
    <w:p w14:paraId="31958C16" w14:textId="77777777" w:rsidR="00D63F52" w:rsidRPr="009B1D59" w:rsidRDefault="00246001" w:rsidP="00D63F52">
      <w:pPr>
        <w:pStyle w:val="tabletitle"/>
        <w:spacing w:after="240"/>
        <w:jc w:val="center"/>
        <w:rPr>
          <w:lang w:val="en-GB"/>
        </w:rPr>
      </w:pPr>
      <w:proofErr w:type="gramStart"/>
      <w:r w:rsidRPr="009B1D59">
        <w:rPr>
          <w:b/>
          <w:lang w:val="en-GB"/>
        </w:rPr>
        <w:lastRenderedPageBreak/>
        <w:t xml:space="preserve">Table </w:t>
      </w:r>
      <w:proofErr w:type="gramEnd"/>
      <w:r w:rsidR="003E4768">
        <w:rPr>
          <w:b/>
        </w:rPr>
        <w:fldChar w:fldCharType="begin"/>
      </w:r>
      <w:r w:rsidRPr="009B1D59">
        <w:rPr>
          <w:b/>
          <w:lang w:val="en-GB"/>
        </w:rPr>
        <w:instrText xml:space="preserve"> SEQ Table \n </w:instrText>
      </w:r>
      <w:r w:rsidR="003E4768">
        <w:rPr>
          <w:b/>
        </w:rPr>
        <w:fldChar w:fldCharType="separate"/>
      </w:r>
      <w:r w:rsidR="004E19EC">
        <w:rPr>
          <w:b/>
          <w:noProof/>
          <w:lang w:val="en-GB"/>
        </w:rPr>
        <w:t>2</w:t>
      </w:r>
      <w:r w:rsidR="003E4768">
        <w:rPr>
          <w:b/>
        </w:rPr>
        <w:fldChar w:fldCharType="end"/>
      </w:r>
      <w:proofErr w:type="gramStart"/>
      <w:r w:rsidRPr="009B1D59">
        <w:rPr>
          <w:b/>
          <w:lang w:val="en-GB"/>
        </w:rPr>
        <w:t>.</w:t>
      </w:r>
      <w:proofErr w:type="gramEnd"/>
      <w:r w:rsidRPr="009B1D59">
        <w:rPr>
          <w:lang w:val="en-GB"/>
        </w:rPr>
        <w:t xml:space="preserve"> </w:t>
      </w:r>
      <w:r>
        <w:rPr>
          <w:lang w:val="en-GB"/>
        </w:rPr>
        <w:t xml:space="preserve"> </w:t>
      </w:r>
      <w:r w:rsidR="00D63F52">
        <w:rPr>
          <w:szCs w:val="18"/>
          <w:lang w:val="en-US"/>
        </w:rPr>
        <w:t>Top 6 unsolved sequences, their traversal frequency means, and standard deviations</w:t>
      </w:r>
      <w:r w:rsidR="00D63F52" w:rsidRPr="009B1D59">
        <w:rPr>
          <w:szCs w:val="18"/>
          <w:lang w:val="en-US"/>
        </w:rPr>
        <w:t>.</w:t>
      </w:r>
    </w:p>
    <w:tbl>
      <w:tblPr>
        <w:tblStyle w:val="TableGrid"/>
        <w:tblW w:w="6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4119"/>
        <w:gridCol w:w="936"/>
        <w:gridCol w:w="841"/>
      </w:tblGrid>
      <w:tr w:rsidR="00D63F52" w14:paraId="5FA35B5F" w14:textId="77777777" w:rsidTr="00D63F52">
        <w:trPr>
          <w:trHeight w:val="248"/>
          <w:jc w:val="center"/>
        </w:trPr>
        <w:tc>
          <w:tcPr>
            <w:tcW w:w="390" w:type="dxa"/>
            <w:tcBorders>
              <w:top w:val="single" w:sz="4" w:space="0" w:color="auto"/>
            </w:tcBorders>
          </w:tcPr>
          <w:p w14:paraId="512BEA4E" w14:textId="77777777" w:rsidR="00D63F52" w:rsidRDefault="00D63F52" w:rsidP="00D63F52">
            <w:pPr>
              <w:ind w:firstLine="0"/>
            </w:pPr>
          </w:p>
        </w:tc>
        <w:tc>
          <w:tcPr>
            <w:tcW w:w="4119" w:type="dxa"/>
            <w:vMerge w:val="restart"/>
            <w:tcBorders>
              <w:top w:val="single" w:sz="4" w:space="0" w:color="auto"/>
            </w:tcBorders>
            <w:vAlign w:val="center"/>
          </w:tcPr>
          <w:p w14:paraId="1CC88E2A" w14:textId="77777777" w:rsidR="00D63F52" w:rsidRDefault="00D63F52" w:rsidP="00D63F52">
            <w:pPr>
              <w:ind w:firstLine="0"/>
              <w:jc w:val="center"/>
            </w:pPr>
            <w:r>
              <w:t>Sequences</w:t>
            </w:r>
          </w:p>
        </w:tc>
        <w:tc>
          <w:tcPr>
            <w:tcW w:w="1777" w:type="dxa"/>
            <w:gridSpan w:val="2"/>
            <w:tcBorders>
              <w:top w:val="single" w:sz="4" w:space="0" w:color="auto"/>
            </w:tcBorders>
          </w:tcPr>
          <w:p w14:paraId="5502988E" w14:textId="77777777" w:rsidR="00D63F52" w:rsidRDefault="00D63F52" w:rsidP="00D63F52">
            <w:pPr>
              <w:ind w:firstLine="0"/>
              <w:jc w:val="center"/>
            </w:pPr>
            <w:r>
              <w:t>Frequency</w:t>
            </w:r>
          </w:p>
        </w:tc>
      </w:tr>
      <w:tr w:rsidR="00D63F52" w14:paraId="2CBA968F" w14:textId="77777777" w:rsidTr="00D63F52">
        <w:trPr>
          <w:trHeight w:val="248"/>
          <w:jc w:val="center"/>
        </w:trPr>
        <w:tc>
          <w:tcPr>
            <w:tcW w:w="390" w:type="dxa"/>
            <w:tcBorders>
              <w:bottom w:val="single" w:sz="4" w:space="0" w:color="auto"/>
            </w:tcBorders>
          </w:tcPr>
          <w:p w14:paraId="18F538E9" w14:textId="77777777" w:rsidR="00D63F52" w:rsidRDefault="00D63F52" w:rsidP="00D63F52">
            <w:pPr>
              <w:ind w:firstLine="0"/>
            </w:pPr>
          </w:p>
        </w:tc>
        <w:tc>
          <w:tcPr>
            <w:tcW w:w="4119" w:type="dxa"/>
            <w:vMerge/>
            <w:tcBorders>
              <w:bottom w:val="single" w:sz="4" w:space="0" w:color="auto"/>
            </w:tcBorders>
          </w:tcPr>
          <w:p w14:paraId="1294FD9E" w14:textId="77777777" w:rsidR="00D63F52" w:rsidRDefault="00D63F52" w:rsidP="00D63F52">
            <w:pPr>
              <w:ind w:firstLine="0"/>
              <w:jc w:val="center"/>
            </w:pPr>
          </w:p>
        </w:tc>
        <w:tc>
          <w:tcPr>
            <w:tcW w:w="936" w:type="dxa"/>
            <w:tcBorders>
              <w:bottom w:val="single" w:sz="4" w:space="0" w:color="auto"/>
            </w:tcBorders>
          </w:tcPr>
          <w:p w14:paraId="78D247FF" w14:textId="77777777" w:rsidR="00D63F52" w:rsidRDefault="00D63F52" w:rsidP="00D63F52">
            <w:pPr>
              <w:ind w:firstLine="0"/>
              <w:jc w:val="center"/>
            </w:pPr>
            <w:r>
              <w:t>Mean</w:t>
            </w:r>
          </w:p>
        </w:tc>
        <w:tc>
          <w:tcPr>
            <w:tcW w:w="841" w:type="dxa"/>
            <w:tcBorders>
              <w:bottom w:val="single" w:sz="4" w:space="0" w:color="auto"/>
            </w:tcBorders>
          </w:tcPr>
          <w:p w14:paraId="36210B48" w14:textId="77777777" w:rsidR="00D63F52" w:rsidDel="00915B5C" w:rsidRDefault="00D63F52" w:rsidP="00D63F52">
            <w:pPr>
              <w:ind w:firstLine="0"/>
              <w:jc w:val="center"/>
            </w:pPr>
            <w:r>
              <w:t>SD</w:t>
            </w:r>
          </w:p>
        </w:tc>
      </w:tr>
      <w:tr w:rsidR="00D63F52" w14:paraId="6BDABC9B" w14:textId="77777777" w:rsidTr="00D63F52">
        <w:trPr>
          <w:trHeight w:val="248"/>
          <w:jc w:val="center"/>
        </w:trPr>
        <w:tc>
          <w:tcPr>
            <w:tcW w:w="390" w:type="dxa"/>
            <w:tcBorders>
              <w:top w:val="single" w:sz="4" w:space="0" w:color="auto"/>
            </w:tcBorders>
          </w:tcPr>
          <w:p w14:paraId="0D2EB7C8" w14:textId="77777777" w:rsidR="00D63F52" w:rsidRDefault="00D63F52" w:rsidP="00D63F52">
            <w:pPr>
              <w:ind w:firstLine="0"/>
            </w:pPr>
            <w:r>
              <w:t>1</w:t>
            </w:r>
          </w:p>
        </w:tc>
        <w:tc>
          <w:tcPr>
            <w:tcW w:w="4119" w:type="dxa"/>
            <w:tcBorders>
              <w:top w:val="single" w:sz="4" w:space="0" w:color="auto"/>
            </w:tcBorders>
          </w:tcPr>
          <w:p w14:paraId="544D203D" w14:textId="77777777" w:rsidR="00D63F52" w:rsidRPr="0030643A" w:rsidRDefault="00D63F52" w:rsidP="00D63F52">
            <w:pPr>
              <w:ind w:firstLine="0"/>
              <w:rPr>
                <w:rFonts w:ascii="Consolas" w:hAnsi="Consolas"/>
                <w:sz w:val="18"/>
                <w:szCs w:val="18"/>
              </w:rPr>
            </w:pPr>
            <w:r w:rsidRPr="0030643A">
              <w:rPr>
                <w:rFonts w:ascii="Consolas" w:hAnsi="Consolas"/>
                <w:sz w:val="18"/>
                <w:szCs w:val="18"/>
              </w:rPr>
              <w:t>Level End (</w:t>
            </w:r>
            <w:r>
              <w:rPr>
                <w:rFonts w:ascii="Consolas" w:hAnsi="Consolas"/>
                <w:sz w:val="18"/>
                <w:szCs w:val="18"/>
              </w:rPr>
              <w:t>none</w:t>
            </w:r>
            <w:r w:rsidRPr="0030643A">
              <w:rPr>
                <w:rFonts w:ascii="Consolas" w:hAnsi="Consolas"/>
                <w:sz w:val="18"/>
                <w:szCs w:val="18"/>
              </w:rPr>
              <w:t>)</w:t>
            </w:r>
          </w:p>
        </w:tc>
        <w:tc>
          <w:tcPr>
            <w:tcW w:w="936" w:type="dxa"/>
            <w:tcBorders>
              <w:top w:val="single" w:sz="4" w:space="0" w:color="auto"/>
            </w:tcBorders>
          </w:tcPr>
          <w:p w14:paraId="2DDAA0EC" w14:textId="77777777" w:rsidR="00D63F52" w:rsidRDefault="00D63F52" w:rsidP="00D63F52">
            <w:pPr>
              <w:ind w:firstLine="0"/>
              <w:jc w:val="center"/>
            </w:pPr>
            <w:r>
              <w:t>10.69</w:t>
            </w:r>
          </w:p>
        </w:tc>
        <w:tc>
          <w:tcPr>
            <w:tcW w:w="841" w:type="dxa"/>
            <w:tcBorders>
              <w:top w:val="single" w:sz="4" w:space="0" w:color="auto"/>
            </w:tcBorders>
          </w:tcPr>
          <w:p w14:paraId="375C52A1" w14:textId="77777777" w:rsidR="00D63F52" w:rsidRDefault="00D63F52" w:rsidP="00D63F52">
            <w:pPr>
              <w:ind w:firstLine="0"/>
              <w:jc w:val="center"/>
            </w:pPr>
            <w:r>
              <w:t>8.17</w:t>
            </w:r>
          </w:p>
        </w:tc>
      </w:tr>
      <w:tr w:rsidR="00D63F52" w14:paraId="0650CB9D" w14:textId="77777777" w:rsidTr="00D63F52">
        <w:trPr>
          <w:trHeight w:val="266"/>
          <w:jc w:val="center"/>
        </w:trPr>
        <w:tc>
          <w:tcPr>
            <w:tcW w:w="390" w:type="dxa"/>
          </w:tcPr>
          <w:p w14:paraId="41828982" w14:textId="77777777" w:rsidR="00D63F52" w:rsidRDefault="00D63F52" w:rsidP="00D63F52">
            <w:pPr>
              <w:ind w:firstLine="0"/>
            </w:pPr>
            <w:r>
              <w:t>2</w:t>
            </w:r>
          </w:p>
        </w:tc>
        <w:tc>
          <w:tcPr>
            <w:tcW w:w="4119" w:type="dxa"/>
          </w:tcPr>
          <w:p w14:paraId="47E21C2A" w14:textId="77777777" w:rsidR="00D63F52" w:rsidRPr="0030643A" w:rsidRDefault="00D63F52" w:rsidP="00D63F52">
            <w:pPr>
              <w:ind w:firstLine="0"/>
              <w:rPr>
                <w:rFonts w:ascii="Consolas" w:hAnsi="Consolas"/>
                <w:sz w:val="18"/>
                <w:szCs w:val="18"/>
              </w:rPr>
            </w:pPr>
            <w:r>
              <w:rPr>
                <w:rFonts w:ascii="Consolas" w:hAnsi="Consolas"/>
                <w:sz w:val="18"/>
                <w:szCs w:val="18"/>
              </w:rPr>
              <w:t>wrong&gt;</w:t>
            </w:r>
            <w:r w:rsidRPr="0030643A">
              <w:rPr>
                <w:rFonts w:ascii="Consolas" w:hAnsi="Consolas"/>
                <w:sz w:val="18"/>
                <w:szCs w:val="18"/>
              </w:rPr>
              <w:t>Level End (</w:t>
            </w:r>
            <w:r>
              <w:rPr>
                <w:rFonts w:ascii="Consolas" w:hAnsi="Consolas"/>
                <w:sz w:val="18"/>
                <w:szCs w:val="18"/>
              </w:rPr>
              <w:t>none</w:t>
            </w:r>
            <w:r w:rsidRPr="0030643A">
              <w:rPr>
                <w:rFonts w:ascii="Consolas" w:hAnsi="Consolas"/>
                <w:sz w:val="18"/>
                <w:szCs w:val="18"/>
              </w:rPr>
              <w:t>)</w:t>
            </w:r>
          </w:p>
        </w:tc>
        <w:tc>
          <w:tcPr>
            <w:tcW w:w="936" w:type="dxa"/>
          </w:tcPr>
          <w:p w14:paraId="485F4C3A" w14:textId="77777777" w:rsidR="00D63F52" w:rsidRDefault="00D63F52" w:rsidP="00D63F52">
            <w:pPr>
              <w:ind w:firstLine="0"/>
              <w:jc w:val="center"/>
            </w:pPr>
            <w:r>
              <w:t>1.55</w:t>
            </w:r>
          </w:p>
        </w:tc>
        <w:tc>
          <w:tcPr>
            <w:tcW w:w="841" w:type="dxa"/>
          </w:tcPr>
          <w:p w14:paraId="0AFC262A" w14:textId="77777777" w:rsidR="00D63F52" w:rsidRDefault="00D63F52" w:rsidP="00D63F52">
            <w:pPr>
              <w:ind w:firstLine="0"/>
              <w:jc w:val="center"/>
            </w:pPr>
            <w:r>
              <w:t>1.65</w:t>
            </w:r>
          </w:p>
        </w:tc>
      </w:tr>
      <w:tr w:rsidR="00D63F52" w14:paraId="324DA375" w14:textId="77777777" w:rsidTr="00D63F52">
        <w:trPr>
          <w:trHeight w:val="266"/>
          <w:jc w:val="center"/>
        </w:trPr>
        <w:tc>
          <w:tcPr>
            <w:tcW w:w="390" w:type="dxa"/>
          </w:tcPr>
          <w:p w14:paraId="649FFBE8" w14:textId="77777777" w:rsidR="00D63F52" w:rsidRDefault="00D63F52" w:rsidP="00D63F52">
            <w:pPr>
              <w:ind w:firstLine="0"/>
            </w:pPr>
            <w:r>
              <w:t>3</w:t>
            </w:r>
          </w:p>
        </w:tc>
        <w:tc>
          <w:tcPr>
            <w:tcW w:w="4119" w:type="dxa"/>
          </w:tcPr>
          <w:p w14:paraId="688FE41F" w14:textId="77777777" w:rsidR="00D63F52" w:rsidRPr="0030643A" w:rsidRDefault="00D63F52" w:rsidP="00D63F52">
            <w:pPr>
              <w:ind w:firstLine="0"/>
              <w:rPr>
                <w:rFonts w:ascii="Consolas" w:hAnsi="Consolas"/>
                <w:sz w:val="18"/>
                <w:szCs w:val="18"/>
              </w:rPr>
            </w:pPr>
            <w:r>
              <w:rPr>
                <w:rFonts w:ascii="Consolas" w:hAnsi="Consolas"/>
                <w:sz w:val="18"/>
                <w:szCs w:val="18"/>
              </w:rPr>
              <w:t>correct</w:t>
            </w:r>
            <w:r w:rsidRPr="0030643A">
              <w:rPr>
                <w:rFonts w:ascii="Consolas" w:hAnsi="Consolas"/>
                <w:sz w:val="18"/>
                <w:szCs w:val="18"/>
              </w:rPr>
              <w:t>&gt;Level End (</w:t>
            </w:r>
            <w:r>
              <w:rPr>
                <w:rFonts w:ascii="Consolas" w:hAnsi="Consolas"/>
                <w:sz w:val="18"/>
                <w:szCs w:val="18"/>
              </w:rPr>
              <w:t>none</w:t>
            </w:r>
            <w:r w:rsidRPr="0030643A">
              <w:rPr>
                <w:rFonts w:ascii="Consolas" w:hAnsi="Consolas"/>
                <w:sz w:val="18"/>
                <w:szCs w:val="18"/>
              </w:rPr>
              <w:t>)</w:t>
            </w:r>
          </w:p>
        </w:tc>
        <w:tc>
          <w:tcPr>
            <w:tcW w:w="936" w:type="dxa"/>
          </w:tcPr>
          <w:p w14:paraId="732F683A" w14:textId="77777777" w:rsidR="00D63F52" w:rsidRDefault="00D63F52" w:rsidP="00D63F52">
            <w:pPr>
              <w:ind w:firstLine="0"/>
              <w:jc w:val="center"/>
            </w:pPr>
            <w:r>
              <w:t>1.29</w:t>
            </w:r>
          </w:p>
        </w:tc>
        <w:tc>
          <w:tcPr>
            <w:tcW w:w="841" w:type="dxa"/>
          </w:tcPr>
          <w:p w14:paraId="7CBE79A5" w14:textId="77777777" w:rsidR="00D63F52" w:rsidRDefault="00D63F52" w:rsidP="00D63F52">
            <w:pPr>
              <w:ind w:firstLine="0"/>
              <w:jc w:val="center"/>
            </w:pPr>
            <w:r>
              <w:t>1.50</w:t>
            </w:r>
          </w:p>
        </w:tc>
      </w:tr>
      <w:tr w:rsidR="00D63F52" w14:paraId="545C5839" w14:textId="77777777" w:rsidTr="00D63F52">
        <w:trPr>
          <w:trHeight w:val="266"/>
          <w:jc w:val="center"/>
        </w:trPr>
        <w:tc>
          <w:tcPr>
            <w:tcW w:w="390" w:type="dxa"/>
          </w:tcPr>
          <w:p w14:paraId="6784845C" w14:textId="77777777" w:rsidR="00D63F52" w:rsidRDefault="00D63F52" w:rsidP="00D63F52">
            <w:pPr>
              <w:ind w:firstLine="0"/>
            </w:pPr>
            <w:r>
              <w:t>4</w:t>
            </w:r>
          </w:p>
        </w:tc>
        <w:tc>
          <w:tcPr>
            <w:tcW w:w="4119" w:type="dxa"/>
          </w:tcPr>
          <w:p w14:paraId="61D6BADA" w14:textId="77777777" w:rsidR="00D63F52" w:rsidRPr="0030643A" w:rsidRDefault="00D63F52" w:rsidP="00D63F52">
            <w:pPr>
              <w:ind w:firstLine="0"/>
              <w:rPr>
                <w:rFonts w:ascii="Consolas" w:hAnsi="Consolas"/>
                <w:sz w:val="18"/>
                <w:szCs w:val="18"/>
              </w:rPr>
            </w:pPr>
            <w:r w:rsidRPr="0030643A">
              <w:rPr>
                <w:rFonts w:ascii="Consolas" w:hAnsi="Consolas"/>
                <w:sz w:val="18"/>
                <w:szCs w:val="18"/>
              </w:rPr>
              <w:t>wrong&gt;</w:t>
            </w:r>
            <w:r>
              <w:rPr>
                <w:rFonts w:ascii="Consolas" w:hAnsi="Consolas"/>
                <w:sz w:val="18"/>
                <w:szCs w:val="18"/>
              </w:rPr>
              <w:t>wrong</w:t>
            </w:r>
            <w:r w:rsidRPr="0030643A">
              <w:rPr>
                <w:rFonts w:ascii="Consolas" w:hAnsi="Consolas"/>
                <w:sz w:val="18"/>
                <w:szCs w:val="18"/>
              </w:rPr>
              <w:t>&gt;Level End (</w:t>
            </w:r>
            <w:r>
              <w:rPr>
                <w:rFonts w:ascii="Consolas" w:hAnsi="Consolas"/>
                <w:sz w:val="18"/>
                <w:szCs w:val="18"/>
              </w:rPr>
              <w:t>none</w:t>
            </w:r>
            <w:r w:rsidRPr="0030643A">
              <w:rPr>
                <w:rFonts w:ascii="Consolas" w:hAnsi="Consolas"/>
                <w:sz w:val="18"/>
                <w:szCs w:val="18"/>
              </w:rPr>
              <w:t>)</w:t>
            </w:r>
          </w:p>
        </w:tc>
        <w:tc>
          <w:tcPr>
            <w:tcW w:w="936" w:type="dxa"/>
          </w:tcPr>
          <w:p w14:paraId="05CB1996" w14:textId="77777777" w:rsidR="00D63F52" w:rsidRDefault="00D63F52" w:rsidP="00D63F52">
            <w:pPr>
              <w:ind w:firstLine="0"/>
              <w:jc w:val="center"/>
            </w:pPr>
            <w:r>
              <w:t>0.45</w:t>
            </w:r>
          </w:p>
        </w:tc>
        <w:tc>
          <w:tcPr>
            <w:tcW w:w="841" w:type="dxa"/>
          </w:tcPr>
          <w:p w14:paraId="5BA1418B" w14:textId="77777777" w:rsidR="00D63F52" w:rsidRDefault="00D63F52" w:rsidP="00D63F52">
            <w:pPr>
              <w:ind w:firstLine="0"/>
              <w:jc w:val="center"/>
            </w:pPr>
            <w:r>
              <w:t>0.65</w:t>
            </w:r>
          </w:p>
        </w:tc>
      </w:tr>
      <w:tr w:rsidR="00D63F52" w14:paraId="5B90396B" w14:textId="77777777" w:rsidTr="00D63F52">
        <w:trPr>
          <w:trHeight w:val="284"/>
          <w:jc w:val="center"/>
        </w:trPr>
        <w:tc>
          <w:tcPr>
            <w:tcW w:w="390" w:type="dxa"/>
            <w:shd w:val="clear" w:color="auto" w:fill="EEECE1" w:themeFill="background2"/>
          </w:tcPr>
          <w:p w14:paraId="75B15DAB" w14:textId="77777777" w:rsidR="00D63F52" w:rsidRDefault="00D63F52" w:rsidP="00D63F52">
            <w:pPr>
              <w:ind w:firstLine="0"/>
            </w:pPr>
            <w:r>
              <w:t>5</w:t>
            </w:r>
          </w:p>
        </w:tc>
        <w:tc>
          <w:tcPr>
            <w:tcW w:w="4119" w:type="dxa"/>
            <w:shd w:val="clear" w:color="auto" w:fill="EEECE1" w:themeFill="background2"/>
          </w:tcPr>
          <w:p w14:paraId="30635698" w14:textId="77777777" w:rsidR="00D63F52" w:rsidRPr="0030643A" w:rsidRDefault="00D63F52" w:rsidP="00D63F52">
            <w:pPr>
              <w:ind w:firstLine="0"/>
              <w:rPr>
                <w:rFonts w:ascii="Consolas" w:hAnsi="Consolas"/>
                <w:sz w:val="18"/>
                <w:szCs w:val="18"/>
              </w:rPr>
            </w:pPr>
            <w:r w:rsidRPr="0030643A">
              <w:rPr>
                <w:rFonts w:ascii="Consolas" w:hAnsi="Consolas"/>
                <w:sz w:val="18"/>
                <w:szCs w:val="18"/>
              </w:rPr>
              <w:t>correct&gt;correct&gt;Level End (</w:t>
            </w:r>
            <w:r>
              <w:rPr>
                <w:rFonts w:ascii="Consolas" w:hAnsi="Consolas"/>
                <w:sz w:val="18"/>
                <w:szCs w:val="18"/>
              </w:rPr>
              <w:t>none</w:t>
            </w:r>
            <w:r w:rsidRPr="0030643A">
              <w:rPr>
                <w:rFonts w:ascii="Consolas" w:hAnsi="Consolas"/>
                <w:sz w:val="18"/>
                <w:szCs w:val="18"/>
              </w:rPr>
              <w:t>)</w:t>
            </w:r>
          </w:p>
        </w:tc>
        <w:tc>
          <w:tcPr>
            <w:tcW w:w="936" w:type="dxa"/>
            <w:shd w:val="clear" w:color="auto" w:fill="EEECE1" w:themeFill="background2"/>
          </w:tcPr>
          <w:p w14:paraId="6DFDC73A" w14:textId="77777777" w:rsidR="00D63F52" w:rsidRDefault="00D63F52" w:rsidP="00D63F52">
            <w:pPr>
              <w:ind w:firstLine="0"/>
              <w:jc w:val="center"/>
            </w:pPr>
            <w:r>
              <w:t>0.41</w:t>
            </w:r>
          </w:p>
        </w:tc>
        <w:tc>
          <w:tcPr>
            <w:tcW w:w="841" w:type="dxa"/>
            <w:shd w:val="clear" w:color="auto" w:fill="EEECE1" w:themeFill="background2"/>
          </w:tcPr>
          <w:p w14:paraId="3BD0FD3F" w14:textId="77777777" w:rsidR="00D63F52" w:rsidRDefault="00D63F52" w:rsidP="00D63F52">
            <w:pPr>
              <w:ind w:firstLine="0"/>
              <w:jc w:val="center"/>
            </w:pPr>
            <w:r>
              <w:t>0.73</w:t>
            </w:r>
          </w:p>
        </w:tc>
      </w:tr>
      <w:tr w:rsidR="00D63F52" w14:paraId="68A04D16" w14:textId="77777777" w:rsidTr="00D63F52">
        <w:trPr>
          <w:trHeight w:val="266"/>
          <w:jc w:val="center"/>
        </w:trPr>
        <w:tc>
          <w:tcPr>
            <w:tcW w:w="390" w:type="dxa"/>
            <w:tcBorders>
              <w:bottom w:val="single" w:sz="4" w:space="0" w:color="auto"/>
            </w:tcBorders>
          </w:tcPr>
          <w:p w14:paraId="46F7AE6A" w14:textId="77777777" w:rsidR="00D63F52" w:rsidRDefault="00D63F52" w:rsidP="00D63F52">
            <w:pPr>
              <w:ind w:firstLine="0"/>
            </w:pPr>
            <w:r>
              <w:t>6</w:t>
            </w:r>
          </w:p>
        </w:tc>
        <w:tc>
          <w:tcPr>
            <w:tcW w:w="4119" w:type="dxa"/>
            <w:tcBorders>
              <w:bottom w:val="single" w:sz="4" w:space="0" w:color="auto"/>
            </w:tcBorders>
          </w:tcPr>
          <w:p w14:paraId="26EAEB9B" w14:textId="77777777" w:rsidR="00D63F52" w:rsidRPr="0030643A" w:rsidRDefault="00D63F52" w:rsidP="00D63F52">
            <w:pPr>
              <w:ind w:firstLine="0"/>
              <w:rPr>
                <w:rFonts w:ascii="Consolas" w:hAnsi="Consolas"/>
                <w:sz w:val="18"/>
                <w:szCs w:val="18"/>
              </w:rPr>
            </w:pPr>
            <w:r w:rsidRPr="0030643A">
              <w:rPr>
                <w:rFonts w:ascii="Consolas" w:hAnsi="Consolas"/>
                <w:sz w:val="18"/>
                <w:szCs w:val="18"/>
              </w:rPr>
              <w:t>wrong&gt;</w:t>
            </w:r>
            <w:r>
              <w:rPr>
                <w:rFonts w:ascii="Consolas" w:hAnsi="Consolas"/>
                <w:sz w:val="18"/>
                <w:szCs w:val="18"/>
              </w:rPr>
              <w:t>correct</w:t>
            </w:r>
            <w:r w:rsidRPr="0030643A">
              <w:rPr>
                <w:rFonts w:ascii="Consolas" w:hAnsi="Consolas"/>
                <w:sz w:val="18"/>
                <w:szCs w:val="18"/>
              </w:rPr>
              <w:t>&gt;Level End (</w:t>
            </w:r>
            <w:r>
              <w:rPr>
                <w:rFonts w:ascii="Consolas" w:hAnsi="Consolas"/>
                <w:sz w:val="18"/>
                <w:szCs w:val="18"/>
              </w:rPr>
              <w:t>none</w:t>
            </w:r>
            <w:r w:rsidRPr="0030643A">
              <w:rPr>
                <w:rFonts w:ascii="Consolas" w:hAnsi="Consolas"/>
                <w:sz w:val="18"/>
                <w:szCs w:val="18"/>
              </w:rPr>
              <w:t>)</w:t>
            </w:r>
          </w:p>
        </w:tc>
        <w:tc>
          <w:tcPr>
            <w:tcW w:w="936" w:type="dxa"/>
            <w:tcBorders>
              <w:bottom w:val="single" w:sz="4" w:space="0" w:color="auto"/>
            </w:tcBorders>
          </w:tcPr>
          <w:p w14:paraId="1D5D5DA5" w14:textId="77777777" w:rsidR="00D63F52" w:rsidRDefault="00D63F52" w:rsidP="00D63F52">
            <w:pPr>
              <w:ind w:firstLine="0"/>
              <w:jc w:val="center"/>
            </w:pPr>
            <w:r>
              <w:t>0.39</w:t>
            </w:r>
          </w:p>
        </w:tc>
        <w:tc>
          <w:tcPr>
            <w:tcW w:w="841" w:type="dxa"/>
            <w:tcBorders>
              <w:bottom w:val="single" w:sz="4" w:space="0" w:color="auto"/>
            </w:tcBorders>
          </w:tcPr>
          <w:p w14:paraId="21DE4F98" w14:textId="77777777" w:rsidR="00D63F52" w:rsidRDefault="00D63F52" w:rsidP="00D63F52">
            <w:pPr>
              <w:ind w:firstLine="0"/>
              <w:jc w:val="center"/>
            </w:pPr>
            <w:r>
              <w:t>0.57</w:t>
            </w:r>
          </w:p>
        </w:tc>
      </w:tr>
    </w:tbl>
    <w:p w14:paraId="68BA4125" w14:textId="77777777" w:rsidR="00D63F52" w:rsidRDefault="00D63F52" w:rsidP="00D63F52"/>
    <w:p w14:paraId="4C6227D2" w14:textId="77777777" w:rsidR="00601395" w:rsidRPr="0019191A" w:rsidRDefault="00BE5963" w:rsidP="00BE5963">
      <w:pPr>
        <w:ind w:firstLine="230"/>
      </w:pPr>
      <w:r>
        <w:t xml:space="preserve">Table 2, which shows the top 6 unsolved </w:t>
      </w:r>
      <w:r w:rsidRPr="0019191A">
        <w:t xml:space="preserve">sequences, shows signs of </w:t>
      </w:r>
      <w:r>
        <w:t>students</w:t>
      </w:r>
      <w:r w:rsidRPr="0019191A">
        <w:t xml:space="preserve"> giving up. Sequence 1 shows students giving up without even drawing a single object, which could have been caused by one of two things: 1) the student saw the level and decided to quit without attempting to solve it, or 2) again, the logger did not log the objects correctly. </w:t>
      </w:r>
      <w:r>
        <w:t>This sequence is similar to one of the silver</w:t>
      </w:r>
      <w:r w:rsidRPr="0019191A">
        <w:t xml:space="preserve"> sequences in that no objects were drawn. What makes them different, however, is what the sequences ultimately led to. The </w:t>
      </w:r>
      <w:r>
        <w:t>silver</w:t>
      </w:r>
      <w:r w:rsidRPr="0019191A">
        <w:t xml:space="preserve"> sequences ended in a </w:t>
      </w:r>
      <w:r>
        <w:t>silver</w:t>
      </w:r>
      <w:r w:rsidRPr="0019191A">
        <w:t xml:space="preserve"> badge, and the unsolved sequences ended in the student earning no badge. The majority of the sequences listed in Table 2 show students experimenting mainly with wrong objects, whether agents or freeform objects. This implies that the students are lacking in the understanding of how to solve the levels. Sequences 3 and 5 are interesting because it is unclear whether or not the students understood the concepts of the agents. That is, students were drawing the correct agents, but could not get the ball to reach the balloon. Despite drawing one or two correct agents, the students decided to give up and quit. The top 6 unsolved sequences account for 81% of the total number of unsolved sequences.</w:t>
      </w:r>
    </w:p>
    <w:p w14:paraId="6C9E7509" w14:textId="77777777" w:rsidR="00601395" w:rsidRPr="009A3755" w:rsidRDefault="00601395" w:rsidP="00601395">
      <w:pPr>
        <w:pStyle w:val="heading20"/>
      </w:pPr>
      <w:r>
        <w:t>3.2</w:t>
      </w:r>
      <w:r w:rsidRPr="009A3755">
        <w:t xml:space="preserve">   </w:t>
      </w:r>
      <w:r>
        <w:t>Relationship with Affect</w:t>
      </w:r>
      <w:r w:rsidRPr="009A3755">
        <w:t xml:space="preserve"> </w:t>
      </w:r>
    </w:p>
    <w:p w14:paraId="15FCBAA1" w14:textId="2A9E68B3" w:rsidR="00601395" w:rsidRDefault="004D7DBD" w:rsidP="005E19C6">
      <w:pPr>
        <w:ind w:firstLine="0"/>
      </w:pPr>
      <w:r>
        <w:t>We computed frequenc</w:t>
      </w:r>
      <w:r w:rsidR="00BE231B">
        <w:t>ies</w:t>
      </w:r>
      <w:r>
        <w:t xml:space="preserve"> </w:t>
      </w:r>
      <w:r w:rsidR="00BE231B">
        <w:t>for</w:t>
      </w:r>
      <w:r w:rsidR="00601395">
        <w:t xml:space="preserve"> each of the </w:t>
      </w:r>
      <w:r w:rsidR="00C054F2">
        <w:t xml:space="preserve">13 </w:t>
      </w:r>
      <w:r w:rsidR="00792EFF">
        <w:t>sequences</w:t>
      </w:r>
      <w:r w:rsidR="00BE231B">
        <w:t xml:space="preserve"> that the 49 students traversed</w:t>
      </w:r>
      <w:r w:rsidR="00601395">
        <w:t xml:space="preserve">. Correlations were then run between each of the </w:t>
      </w:r>
      <w:r w:rsidR="005A5FE7">
        <w:t xml:space="preserve">13 </w:t>
      </w:r>
      <w:r w:rsidR="00601395">
        <w:t>arrays and the incidences of confusion and boredom.</w:t>
      </w:r>
      <w:r w:rsidR="00BB6E00">
        <w:t xml:space="preserve"> </w:t>
      </w:r>
      <w:r w:rsidR="00BB6E00" w:rsidRPr="00BB6E00">
        <w:t>Because the number of tests introduces the possibility of false discoveries, Storey’s adjustment</w:t>
      </w:r>
      <w:r w:rsidR="005C6A12">
        <w:t xml:space="preserve"> [</w:t>
      </w:r>
      <w:r w:rsidR="005A5FE7">
        <w:fldChar w:fldCharType="begin"/>
      </w:r>
      <w:r w:rsidR="005A5FE7">
        <w:instrText xml:space="preserve"> REF _Ref288746091 \r \h </w:instrText>
      </w:r>
      <w:r w:rsidR="005A5FE7">
        <w:fldChar w:fldCharType="separate"/>
      </w:r>
      <w:r w:rsidR="002068C9">
        <w:t>14</w:t>
      </w:r>
      <w:r w:rsidR="005A5FE7">
        <w:fldChar w:fldCharType="end"/>
      </w:r>
      <w:r w:rsidR="005C6A12">
        <w:t>]</w:t>
      </w:r>
      <w:r w:rsidR="00BB6E00" w:rsidRPr="00BB6E00">
        <w:t xml:space="preserve"> was used as a post-hoc control</w:t>
      </w:r>
      <w:r w:rsidR="005C6A12">
        <w:t>, which</w:t>
      </w:r>
      <w:r w:rsidR="00BB6E00" w:rsidRPr="00BB6E00">
        <w:t xml:space="preserve"> </w:t>
      </w:r>
      <w:r w:rsidR="00792EFF">
        <w:t>provides</w:t>
      </w:r>
      <w:r w:rsidR="00BB6E00" w:rsidRPr="00BB6E00">
        <w:t xml:space="preserve"> a </w:t>
      </w:r>
      <w:r w:rsidR="00BB6E00" w:rsidRPr="00792EFF">
        <w:rPr>
          <w:i/>
        </w:rPr>
        <w:t>q</w:t>
      </w:r>
      <w:r w:rsidR="00BB6E00" w:rsidRPr="00BB6E00">
        <w:t>-value, represent</w:t>
      </w:r>
      <w:r w:rsidR="00BE231B">
        <w:t>ing</w:t>
      </w:r>
      <w:r w:rsidR="00BB6E00" w:rsidRPr="00BB6E00">
        <w:t xml:space="preserve"> the probability that the finding was a false discovery.</w:t>
      </w:r>
      <w:r w:rsidR="00601395">
        <w:t xml:space="preserve"> Tables </w:t>
      </w:r>
      <w:r w:rsidR="005E19C6">
        <w:t xml:space="preserve">3 and </w:t>
      </w:r>
      <w:r w:rsidR="00BB6E00">
        <w:t>4</w:t>
      </w:r>
      <w:r w:rsidR="006D11D6">
        <w:t xml:space="preserve"> </w:t>
      </w:r>
      <w:r w:rsidR="00601395">
        <w:t>show the results. Highlights</w:t>
      </w:r>
      <w:r w:rsidR="00CF6745">
        <w:t xml:space="preserve"> and asterisks (*)</w:t>
      </w:r>
      <w:r w:rsidR="00601395">
        <w:t xml:space="preserve"> were used on significant findings (</w:t>
      </w:r>
      <w:r w:rsidR="00BB6E00">
        <w:rPr>
          <w:i/>
        </w:rPr>
        <w:t>q</w:t>
      </w:r>
      <w:r w:rsidR="00BB6E00">
        <w:t xml:space="preserve"> </w:t>
      </w:r>
      <w:r w:rsidR="00BE5963">
        <w:t xml:space="preserve">≤ </w:t>
      </w:r>
      <w:r w:rsidR="00601395">
        <w:t>0.05).</w:t>
      </w:r>
      <w:r w:rsidR="00601395" w:rsidRPr="00657488">
        <w:t xml:space="preserve"> </w:t>
      </w:r>
    </w:p>
    <w:p w14:paraId="1B907CBF" w14:textId="77777777" w:rsidR="005E19C6" w:rsidRDefault="00B17362" w:rsidP="005E19C6">
      <w:r>
        <w:t xml:space="preserve">Table </w:t>
      </w:r>
      <w:r w:rsidR="005E19C6">
        <w:t>3</w:t>
      </w:r>
      <w:r w:rsidR="006D11D6">
        <w:t xml:space="preserve"> </w:t>
      </w:r>
      <w:r>
        <w:t xml:space="preserve">lists the top </w:t>
      </w:r>
      <w:r w:rsidR="005E19C6">
        <w:t xml:space="preserve">7 </w:t>
      </w:r>
      <w:r>
        <w:t xml:space="preserve">most frequently traversed </w:t>
      </w:r>
      <w:r w:rsidR="005E19C6">
        <w:t>silver sequences</w:t>
      </w:r>
      <w:r>
        <w:t xml:space="preserve">, from left to right. The </w:t>
      </w:r>
      <w:r w:rsidR="005E19C6">
        <w:t xml:space="preserve">sequences </w:t>
      </w:r>
      <w:r>
        <w:t xml:space="preserve">these header numbers </w:t>
      </w:r>
      <w:r w:rsidR="0047320E">
        <w:t>represent</w:t>
      </w:r>
      <w:r>
        <w:t xml:space="preserve"> can be found in </w:t>
      </w:r>
      <w:r w:rsidR="00490E1E">
        <w:t xml:space="preserve">Table </w:t>
      </w:r>
      <w:r w:rsidR="005E19C6">
        <w:t>1</w:t>
      </w:r>
      <w:r>
        <w:t xml:space="preserve">. The table shows the </w:t>
      </w:r>
      <w:r w:rsidR="008C14C3">
        <w:t xml:space="preserve">correlation </w:t>
      </w:r>
      <w:r>
        <w:t xml:space="preserve">between each of the top </w:t>
      </w:r>
      <w:r w:rsidR="005E19C6">
        <w:t>7 silver sequences</w:t>
      </w:r>
      <w:r w:rsidR="004D7DBD">
        <w:t xml:space="preserve"> using </w:t>
      </w:r>
      <w:r w:rsidR="00792EFF">
        <w:t>a metric that represents the percentage of all attempts that match each of the sequences</w:t>
      </w:r>
      <w:r w:rsidR="004D7DBD">
        <w:rPr>
          <w:rStyle w:val="CommentReference"/>
        </w:rPr>
        <w:t xml:space="preserve">, </w:t>
      </w:r>
      <w:r>
        <w:t>the percentag</w:t>
      </w:r>
      <w:r w:rsidR="00660D60">
        <w:t>e of time the students were ob</w:t>
      </w:r>
      <w:r>
        <w:t xml:space="preserve">served to be confused (r, con), and the percentage of time the students were observed to be bored (r, </w:t>
      </w:r>
      <w:proofErr w:type="spellStart"/>
      <w:r>
        <w:t>bor</w:t>
      </w:r>
      <w:proofErr w:type="spellEnd"/>
      <w:r>
        <w:t xml:space="preserve">). </w:t>
      </w:r>
      <w:r w:rsidR="005E19C6">
        <w:lastRenderedPageBreak/>
        <w:t>Table 4</w:t>
      </w:r>
      <w:r w:rsidR="00BE5963">
        <w:t xml:space="preserve"> is presented in the same manner</w:t>
      </w:r>
      <w:r>
        <w:t xml:space="preserve">, with sequence information in </w:t>
      </w:r>
      <w:r w:rsidR="00490E1E">
        <w:t xml:space="preserve">Table </w:t>
      </w:r>
      <w:r w:rsidR="005E19C6">
        <w:t>2</w:t>
      </w:r>
      <w:r w:rsidR="006D11D6">
        <w:t xml:space="preserve"> </w:t>
      </w:r>
      <w:r>
        <w:t>for the top</w:t>
      </w:r>
      <w:r w:rsidR="00BE5963">
        <w:t xml:space="preserve"> 6</w:t>
      </w:r>
      <w:r>
        <w:t xml:space="preserve"> </w:t>
      </w:r>
      <w:r w:rsidR="00E35F36">
        <w:t xml:space="preserve">unsolved </w:t>
      </w:r>
      <w:r w:rsidR="005E19C6">
        <w:t>sequences.</w:t>
      </w:r>
      <w:r w:rsidR="005E19C6" w:rsidRPr="005E19C6">
        <w:t xml:space="preserve"> </w:t>
      </w:r>
    </w:p>
    <w:p w14:paraId="110E5F17" w14:textId="77777777" w:rsidR="005E19C6" w:rsidRPr="009B1D59" w:rsidRDefault="005E19C6" w:rsidP="005E19C6">
      <w:pPr>
        <w:pStyle w:val="tabletitle"/>
        <w:spacing w:after="240"/>
        <w:jc w:val="center"/>
        <w:rPr>
          <w:lang w:val="en-GB"/>
        </w:rPr>
      </w:pPr>
      <w:proofErr w:type="gramStart"/>
      <w:r w:rsidRPr="009B1D59">
        <w:rPr>
          <w:b/>
          <w:lang w:val="en-GB"/>
        </w:rPr>
        <w:t xml:space="preserve">Table </w:t>
      </w:r>
      <w:proofErr w:type="gramEnd"/>
      <w:r w:rsidR="003E4768">
        <w:rPr>
          <w:b/>
        </w:rPr>
        <w:fldChar w:fldCharType="begin"/>
      </w:r>
      <w:r w:rsidRPr="009B1D59">
        <w:rPr>
          <w:b/>
          <w:lang w:val="en-GB"/>
        </w:rPr>
        <w:instrText xml:space="preserve"> SEQ Table \n </w:instrText>
      </w:r>
      <w:r w:rsidR="003E4768">
        <w:rPr>
          <w:b/>
        </w:rPr>
        <w:fldChar w:fldCharType="separate"/>
      </w:r>
      <w:r w:rsidR="004E19EC">
        <w:rPr>
          <w:b/>
          <w:noProof/>
          <w:lang w:val="en-GB"/>
        </w:rPr>
        <w:t>3</w:t>
      </w:r>
      <w:r w:rsidR="003E4768">
        <w:rPr>
          <w:b/>
        </w:rPr>
        <w:fldChar w:fldCharType="end"/>
      </w:r>
      <w:proofErr w:type="gramStart"/>
      <w:r w:rsidRPr="009B1D59">
        <w:rPr>
          <w:b/>
          <w:lang w:val="en-GB"/>
        </w:rPr>
        <w:t>.</w:t>
      </w:r>
      <w:proofErr w:type="gramEnd"/>
      <w:r w:rsidRPr="009B1D59">
        <w:rPr>
          <w:lang w:val="en-GB"/>
        </w:rPr>
        <w:t xml:space="preserve"> </w:t>
      </w:r>
      <w:r>
        <w:rPr>
          <w:lang w:val="en-GB"/>
        </w:rPr>
        <w:t xml:space="preserve"> </w:t>
      </w:r>
      <w:r w:rsidRPr="00601395">
        <w:rPr>
          <w:szCs w:val="18"/>
          <w:lang w:val="en-US"/>
        </w:rPr>
        <w:t xml:space="preserve">Correlations between </w:t>
      </w:r>
      <w:r>
        <w:rPr>
          <w:szCs w:val="18"/>
          <w:lang w:val="en-US"/>
        </w:rPr>
        <w:t>top 7 silver</w:t>
      </w:r>
      <w:r w:rsidRPr="00601395">
        <w:rPr>
          <w:szCs w:val="18"/>
          <w:lang w:val="en-US"/>
        </w:rPr>
        <w:t xml:space="preserve"> s</w:t>
      </w:r>
      <w:r w:rsidR="00FA0C3A">
        <w:rPr>
          <w:szCs w:val="18"/>
          <w:lang w:val="en-US"/>
        </w:rPr>
        <w:t>equences</w:t>
      </w:r>
      <w:r w:rsidRPr="00601395">
        <w:rPr>
          <w:szCs w:val="18"/>
          <w:lang w:val="en-US"/>
        </w:rPr>
        <w:t>,</w:t>
      </w:r>
      <w:r>
        <w:rPr>
          <w:szCs w:val="18"/>
          <w:lang w:val="en-US"/>
        </w:rPr>
        <w:t xml:space="preserve"> confusion, and boredom.</w:t>
      </w:r>
    </w:p>
    <w:tbl>
      <w:tblPr>
        <w:tblStyle w:val="TableGrid"/>
        <w:tblW w:w="6503" w:type="dxa"/>
        <w:jc w:val="center"/>
        <w:tblInd w:w="-11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822"/>
        <w:gridCol w:w="822"/>
        <w:gridCol w:w="822"/>
        <w:gridCol w:w="822"/>
        <w:gridCol w:w="822"/>
        <w:gridCol w:w="822"/>
        <w:gridCol w:w="822"/>
      </w:tblGrid>
      <w:tr w:rsidR="005E19C6" w14:paraId="7B9DAE86" w14:textId="77777777" w:rsidTr="005E19C6">
        <w:trPr>
          <w:jc w:val="center"/>
        </w:trPr>
        <w:tc>
          <w:tcPr>
            <w:tcW w:w="749" w:type="dxa"/>
            <w:tcBorders>
              <w:bottom w:val="nil"/>
            </w:tcBorders>
          </w:tcPr>
          <w:p w14:paraId="6F62B591" w14:textId="77777777" w:rsidR="005E19C6" w:rsidRDefault="005E19C6" w:rsidP="005E19C6">
            <w:pPr>
              <w:ind w:firstLine="0"/>
            </w:pPr>
          </w:p>
        </w:tc>
        <w:tc>
          <w:tcPr>
            <w:tcW w:w="5754" w:type="dxa"/>
            <w:gridSpan w:val="7"/>
            <w:tcBorders>
              <w:bottom w:val="nil"/>
            </w:tcBorders>
          </w:tcPr>
          <w:p w14:paraId="38DC6F11" w14:textId="77777777" w:rsidR="005E19C6" w:rsidRDefault="005E19C6" w:rsidP="00FA0C3A">
            <w:pPr>
              <w:ind w:firstLine="0"/>
              <w:jc w:val="center"/>
            </w:pPr>
            <w:r>
              <w:t xml:space="preserve">Top 7 silver </w:t>
            </w:r>
            <w:r w:rsidR="00FA0C3A">
              <w:t>sequences</w:t>
            </w:r>
          </w:p>
        </w:tc>
      </w:tr>
      <w:tr w:rsidR="005E19C6" w14:paraId="3F2B32F1" w14:textId="77777777" w:rsidTr="005E19C6">
        <w:trPr>
          <w:jc w:val="center"/>
        </w:trPr>
        <w:tc>
          <w:tcPr>
            <w:tcW w:w="749" w:type="dxa"/>
            <w:tcBorders>
              <w:top w:val="nil"/>
              <w:bottom w:val="single" w:sz="4" w:space="0" w:color="auto"/>
            </w:tcBorders>
          </w:tcPr>
          <w:p w14:paraId="6B3D323A" w14:textId="77777777" w:rsidR="005E19C6" w:rsidRDefault="005E19C6" w:rsidP="005E19C6">
            <w:pPr>
              <w:ind w:firstLine="0"/>
            </w:pPr>
          </w:p>
        </w:tc>
        <w:tc>
          <w:tcPr>
            <w:tcW w:w="822" w:type="dxa"/>
            <w:tcBorders>
              <w:top w:val="nil"/>
              <w:bottom w:val="single" w:sz="4" w:space="0" w:color="auto"/>
            </w:tcBorders>
          </w:tcPr>
          <w:p w14:paraId="25BCDC79" w14:textId="77777777" w:rsidR="005E19C6" w:rsidRDefault="005E19C6" w:rsidP="005E19C6">
            <w:pPr>
              <w:ind w:firstLine="0"/>
              <w:jc w:val="center"/>
            </w:pPr>
            <w:r>
              <w:t>1</w:t>
            </w:r>
          </w:p>
        </w:tc>
        <w:tc>
          <w:tcPr>
            <w:tcW w:w="822" w:type="dxa"/>
            <w:tcBorders>
              <w:top w:val="nil"/>
              <w:bottom w:val="single" w:sz="4" w:space="0" w:color="auto"/>
            </w:tcBorders>
          </w:tcPr>
          <w:p w14:paraId="5962DC1B" w14:textId="77777777" w:rsidR="005E19C6" w:rsidRDefault="005E19C6" w:rsidP="005E19C6">
            <w:pPr>
              <w:ind w:firstLine="0"/>
              <w:jc w:val="center"/>
            </w:pPr>
            <w:r>
              <w:t>2</w:t>
            </w:r>
          </w:p>
        </w:tc>
        <w:tc>
          <w:tcPr>
            <w:tcW w:w="822" w:type="dxa"/>
            <w:tcBorders>
              <w:top w:val="nil"/>
              <w:bottom w:val="single" w:sz="4" w:space="0" w:color="auto"/>
            </w:tcBorders>
          </w:tcPr>
          <w:p w14:paraId="40A2E2F5" w14:textId="77777777" w:rsidR="005E19C6" w:rsidRDefault="005E19C6" w:rsidP="005E19C6">
            <w:pPr>
              <w:ind w:firstLine="0"/>
              <w:jc w:val="center"/>
            </w:pPr>
            <w:r>
              <w:t>3</w:t>
            </w:r>
          </w:p>
        </w:tc>
        <w:tc>
          <w:tcPr>
            <w:tcW w:w="822" w:type="dxa"/>
            <w:tcBorders>
              <w:top w:val="nil"/>
              <w:bottom w:val="single" w:sz="4" w:space="0" w:color="auto"/>
            </w:tcBorders>
          </w:tcPr>
          <w:p w14:paraId="43E9A11A" w14:textId="77777777" w:rsidR="005E19C6" w:rsidRDefault="005E19C6" w:rsidP="005E19C6">
            <w:pPr>
              <w:ind w:firstLine="0"/>
              <w:jc w:val="center"/>
            </w:pPr>
            <w:r>
              <w:t>4</w:t>
            </w:r>
          </w:p>
        </w:tc>
        <w:tc>
          <w:tcPr>
            <w:tcW w:w="822" w:type="dxa"/>
            <w:tcBorders>
              <w:top w:val="nil"/>
              <w:bottom w:val="single" w:sz="4" w:space="0" w:color="auto"/>
            </w:tcBorders>
          </w:tcPr>
          <w:p w14:paraId="74D642F3" w14:textId="77777777" w:rsidR="005E19C6" w:rsidRDefault="005E19C6" w:rsidP="005E19C6">
            <w:pPr>
              <w:ind w:firstLine="0"/>
              <w:jc w:val="center"/>
            </w:pPr>
            <w:r>
              <w:t>5</w:t>
            </w:r>
          </w:p>
        </w:tc>
        <w:tc>
          <w:tcPr>
            <w:tcW w:w="822" w:type="dxa"/>
            <w:tcBorders>
              <w:top w:val="nil"/>
              <w:bottom w:val="single" w:sz="4" w:space="0" w:color="auto"/>
            </w:tcBorders>
          </w:tcPr>
          <w:p w14:paraId="5AD362AE" w14:textId="77777777" w:rsidR="005E19C6" w:rsidRDefault="005E19C6" w:rsidP="005E19C6">
            <w:pPr>
              <w:ind w:firstLine="0"/>
              <w:jc w:val="center"/>
            </w:pPr>
            <w:r>
              <w:t>6</w:t>
            </w:r>
          </w:p>
        </w:tc>
        <w:tc>
          <w:tcPr>
            <w:tcW w:w="822" w:type="dxa"/>
            <w:tcBorders>
              <w:top w:val="nil"/>
              <w:bottom w:val="single" w:sz="4" w:space="0" w:color="auto"/>
            </w:tcBorders>
          </w:tcPr>
          <w:p w14:paraId="7A7D9788" w14:textId="77777777" w:rsidR="005E19C6" w:rsidRDefault="005E19C6" w:rsidP="005E19C6">
            <w:pPr>
              <w:ind w:firstLine="0"/>
              <w:jc w:val="center"/>
            </w:pPr>
            <w:r>
              <w:t>7</w:t>
            </w:r>
          </w:p>
        </w:tc>
      </w:tr>
      <w:tr w:rsidR="005E19C6" w14:paraId="130CCF6D" w14:textId="77777777" w:rsidTr="005E19C6">
        <w:trPr>
          <w:jc w:val="center"/>
        </w:trPr>
        <w:tc>
          <w:tcPr>
            <w:tcW w:w="749" w:type="dxa"/>
            <w:tcBorders>
              <w:top w:val="single" w:sz="4" w:space="0" w:color="auto"/>
            </w:tcBorders>
            <w:shd w:val="clear" w:color="auto" w:fill="auto"/>
          </w:tcPr>
          <w:p w14:paraId="774E2F2C" w14:textId="77777777" w:rsidR="005E19C6" w:rsidRDefault="005E19C6" w:rsidP="005E19C6">
            <w:pPr>
              <w:ind w:firstLine="0"/>
            </w:pPr>
            <w:r>
              <w:t>r, con</w:t>
            </w:r>
          </w:p>
        </w:tc>
        <w:tc>
          <w:tcPr>
            <w:tcW w:w="822" w:type="dxa"/>
            <w:tcBorders>
              <w:top w:val="single" w:sz="4" w:space="0" w:color="auto"/>
            </w:tcBorders>
            <w:shd w:val="clear" w:color="auto" w:fill="auto"/>
          </w:tcPr>
          <w:p w14:paraId="0D74B335" w14:textId="77777777" w:rsidR="005E19C6" w:rsidRDefault="005E19C6" w:rsidP="005E19C6">
            <w:pPr>
              <w:ind w:firstLine="0"/>
              <w:jc w:val="center"/>
            </w:pPr>
            <w:r>
              <w:t>-0.33</w:t>
            </w:r>
          </w:p>
        </w:tc>
        <w:tc>
          <w:tcPr>
            <w:tcW w:w="822" w:type="dxa"/>
            <w:tcBorders>
              <w:top w:val="single" w:sz="4" w:space="0" w:color="auto"/>
            </w:tcBorders>
          </w:tcPr>
          <w:p w14:paraId="510BB46C" w14:textId="77777777" w:rsidR="005E19C6" w:rsidRDefault="005E19C6" w:rsidP="005E19C6">
            <w:pPr>
              <w:ind w:firstLine="0"/>
              <w:jc w:val="center"/>
            </w:pPr>
            <w:r>
              <w:t>0.23</w:t>
            </w:r>
          </w:p>
        </w:tc>
        <w:tc>
          <w:tcPr>
            <w:tcW w:w="822" w:type="dxa"/>
            <w:tcBorders>
              <w:top w:val="single" w:sz="4" w:space="0" w:color="auto"/>
            </w:tcBorders>
            <w:shd w:val="clear" w:color="auto" w:fill="EEECE1" w:themeFill="background2"/>
          </w:tcPr>
          <w:p w14:paraId="4915679A" w14:textId="77777777" w:rsidR="005E19C6" w:rsidRDefault="005E19C6" w:rsidP="005E19C6">
            <w:pPr>
              <w:ind w:firstLine="0"/>
              <w:jc w:val="center"/>
            </w:pPr>
            <w:r>
              <w:t>0.41*</w:t>
            </w:r>
          </w:p>
        </w:tc>
        <w:tc>
          <w:tcPr>
            <w:tcW w:w="822" w:type="dxa"/>
            <w:tcBorders>
              <w:top w:val="single" w:sz="4" w:space="0" w:color="auto"/>
            </w:tcBorders>
          </w:tcPr>
          <w:p w14:paraId="55346D04" w14:textId="77777777" w:rsidR="005E19C6" w:rsidRDefault="005E19C6" w:rsidP="005E19C6">
            <w:pPr>
              <w:ind w:firstLine="0"/>
              <w:jc w:val="center"/>
            </w:pPr>
            <w:r>
              <w:t>0.03</w:t>
            </w:r>
          </w:p>
        </w:tc>
        <w:tc>
          <w:tcPr>
            <w:tcW w:w="822" w:type="dxa"/>
            <w:tcBorders>
              <w:top w:val="single" w:sz="4" w:space="0" w:color="auto"/>
            </w:tcBorders>
          </w:tcPr>
          <w:p w14:paraId="574705C6" w14:textId="77777777" w:rsidR="005E19C6" w:rsidRDefault="005E19C6" w:rsidP="005E19C6">
            <w:pPr>
              <w:ind w:firstLine="0"/>
              <w:jc w:val="center"/>
            </w:pPr>
            <w:r>
              <w:t>0.17</w:t>
            </w:r>
          </w:p>
        </w:tc>
        <w:tc>
          <w:tcPr>
            <w:tcW w:w="822" w:type="dxa"/>
            <w:tcBorders>
              <w:top w:val="single" w:sz="4" w:space="0" w:color="auto"/>
            </w:tcBorders>
            <w:shd w:val="clear" w:color="auto" w:fill="EEECE1" w:themeFill="background2"/>
          </w:tcPr>
          <w:p w14:paraId="5AB5562B" w14:textId="77777777" w:rsidR="005E19C6" w:rsidRDefault="005E19C6" w:rsidP="005E19C6">
            <w:pPr>
              <w:ind w:firstLine="0"/>
              <w:jc w:val="center"/>
            </w:pPr>
            <w:r>
              <w:t>0.54*</w:t>
            </w:r>
          </w:p>
        </w:tc>
        <w:tc>
          <w:tcPr>
            <w:tcW w:w="822" w:type="dxa"/>
            <w:tcBorders>
              <w:top w:val="single" w:sz="4" w:space="0" w:color="auto"/>
            </w:tcBorders>
            <w:shd w:val="clear" w:color="auto" w:fill="auto"/>
          </w:tcPr>
          <w:p w14:paraId="79B79645" w14:textId="77777777" w:rsidR="005E19C6" w:rsidRDefault="005E19C6" w:rsidP="005E19C6">
            <w:pPr>
              <w:ind w:firstLine="0"/>
              <w:jc w:val="center"/>
            </w:pPr>
            <w:r>
              <w:t>0.28</w:t>
            </w:r>
          </w:p>
        </w:tc>
      </w:tr>
      <w:tr w:rsidR="005E19C6" w14:paraId="401F0815" w14:textId="77777777" w:rsidTr="005E19C6">
        <w:trPr>
          <w:jc w:val="center"/>
        </w:trPr>
        <w:tc>
          <w:tcPr>
            <w:tcW w:w="749" w:type="dxa"/>
          </w:tcPr>
          <w:p w14:paraId="6D7E53E6" w14:textId="77777777" w:rsidR="005E19C6" w:rsidRDefault="005E19C6" w:rsidP="005E19C6">
            <w:pPr>
              <w:ind w:firstLine="0"/>
            </w:pPr>
            <w:r>
              <w:t xml:space="preserve">r, </w:t>
            </w:r>
            <w:proofErr w:type="spellStart"/>
            <w:r>
              <w:t>bor</w:t>
            </w:r>
            <w:proofErr w:type="spellEnd"/>
          </w:p>
        </w:tc>
        <w:tc>
          <w:tcPr>
            <w:tcW w:w="822" w:type="dxa"/>
          </w:tcPr>
          <w:p w14:paraId="22658D73" w14:textId="77777777" w:rsidR="005E19C6" w:rsidRDefault="005E19C6" w:rsidP="005E19C6">
            <w:pPr>
              <w:ind w:firstLine="0"/>
              <w:jc w:val="center"/>
            </w:pPr>
            <w:r>
              <w:t>-0.20</w:t>
            </w:r>
          </w:p>
        </w:tc>
        <w:tc>
          <w:tcPr>
            <w:tcW w:w="822" w:type="dxa"/>
          </w:tcPr>
          <w:p w14:paraId="2CF04806" w14:textId="77777777" w:rsidR="005E19C6" w:rsidRDefault="005E19C6" w:rsidP="005E19C6">
            <w:pPr>
              <w:ind w:firstLine="0"/>
              <w:jc w:val="center"/>
            </w:pPr>
            <w:r>
              <w:t>-0.17</w:t>
            </w:r>
          </w:p>
        </w:tc>
        <w:tc>
          <w:tcPr>
            <w:tcW w:w="822" w:type="dxa"/>
          </w:tcPr>
          <w:p w14:paraId="1907E074" w14:textId="77777777" w:rsidR="005E19C6" w:rsidRDefault="005E19C6" w:rsidP="005E19C6">
            <w:pPr>
              <w:ind w:firstLine="0"/>
              <w:jc w:val="center"/>
            </w:pPr>
            <w:r>
              <w:t>-0.19</w:t>
            </w:r>
          </w:p>
        </w:tc>
        <w:tc>
          <w:tcPr>
            <w:tcW w:w="822" w:type="dxa"/>
          </w:tcPr>
          <w:p w14:paraId="5E3A868C" w14:textId="77777777" w:rsidR="005E19C6" w:rsidRDefault="005E19C6" w:rsidP="005E19C6">
            <w:pPr>
              <w:ind w:firstLine="0"/>
              <w:jc w:val="center"/>
            </w:pPr>
            <w:r>
              <w:t>-0.05</w:t>
            </w:r>
          </w:p>
        </w:tc>
        <w:tc>
          <w:tcPr>
            <w:tcW w:w="822" w:type="dxa"/>
          </w:tcPr>
          <w:p w14:paraId="0648A2D9" w14:textId="77777777" w:rsidR="005E19C6" w:rsidRDefault="005E19C6" w:rsidP="005E19C6">
            <w:pPr>
              <w:ind w:firstLine="0"/>
              <w:jc w:val="center"/>
            </w:pPr>
            <w:r>
              <w:t>0.14</w:t>
            </w:r>
          </w:p>
        </w:tc>
        <w:tc>
          <w:tcPr>
            <w:tcW w:w="822" w:type="dxa"/>
          </w:tcPr>
          <w:p w14:paraId="2B9C0738" w14:textId="77777777" w:rsidR="005E19C6" w:rsidRDefault="005E19C6" w:rsidP="005E19C6">
            <w:pPr>
              <w:ind w:firstLine="0"/>
              <w:jc w:val="center"/>
            </w:pPr>
            <w:r>
              <w:t>-0.19</w:t>
            </w:r>
          </w:p>
        </w:tc>
        <w:tc>
          <w:tcPr>
            <w:tcW w:w="822" w:type="dxa"/>
          </w:tcPr>
          <w:p w14:paraId="1BCDC584" w14:textId="77777777" w:rsidR="005E19C6" w:rsidRDefault="005E19C6" w:rsidP="005E19C6">
            <w:pPr>
              <w:ind w:firstLine="0"/>
              <w:jc w:val="center"/>
            </w:pPr>
            <w:r>
              <w:t>-0.20</w:t>
            </w:r>
          </w:p>
        </w:tc>
      </w:tr>
    </w:tbl>
    <w:p w14:paraId="0185F123" w14:textId="77777777" w:rsidR="005E19C6" w:rsidRPr="00657488" w:rsidRDefault="005E19C6" w:rsidP="005E19C6"/>
    <w:p w14:paraId="0A808796" w14:textId="1A4EFEA7" w:rsidR="00660D60" w:rsidRDefault="005E19C6" w:rsidP="005E19C6">
      <w:pPr>
        <w:pStyle w:val="p1a"/>
        <w:ind w:firstLine="230"/>
      </w:pPr>
      <w:r>
        <w:t>T</w:t>
      </w:r>
      <w:r w:rsidRPr="00660D60">
        <w:t xml:space="preserve">able </w:t>
      </w:r>
      <w:r>
        <w:t>3</w:t>
      </w:r>
      <w:r w:rsidRPr="00660D60">
        <w:t xml:space="preserve"> shows </w:t>
      </w:r>
      <w:r>
        <w:t>two</w:t>
      </w:r>
      <w:r w:rsidRPr="00660D60">
        <w:t xml:space="preserve"> significant </w:t>
      </w:r>
      <w:r w:rsidR="004C5769">
        <w:t xml:space="preserve">positive </w:t>
      </w:r>
      <w:r w:rsidRPr="00660D60">
        <w:t xml:space="preserve">correlations between confusion and the </w:t>
      </w:r>
      <w:r>
        <w:t>silver</w:t>
      </w:r>
      <w:r w:rsidRPr="00660D60">
        <w:t xml:space="preserve"> </w:t>
      </w:r>
      <w:r>
        <w:t>sequences</w:t>
      </w:r>
      <w:r w:rsidRPr="00660D60">
        <w:t xml:space="preserve">. </w:t>
      </w:r>
      <w:r>
        <w:t xml:space="preserve">The </w:t>
      </w:r>
      <w:r w:rsidR="004C5769">
        <w:t>two</w:t>
      </w:r>
      <w:r w:rsidRPr="00660D60">
        <w:t xml:space="preserve"> sequences showed signs o</w:t>
      </w:r>
      <w:r>
        <w:t xml:space="preserve">f lesser understanding of the agents. </w:t>
      </w:r>
      <w:r w:rsidR="00792EFF">
        <w:t xml:space="preserve">Sequence </w:t>
      </w:r>
      <w:r>
        <w:t xml:space="preserve">3 shows students using only a wrong object to solve a level, which may have been caused either by incorrect object labeling (e.g., PP logged a ramp as a Freeform Object), or </w:t>
      </w:r>
      <w:r w:rsidR="00792EFF">
        <w:t>the student found a different way of solving the level</w:t>
      </w:r>
      <w:r>
        <w:t>.</w:t>
      </w:r>
      <w:r w:rsidR="00481A65">
        <w:t xml:space="preserve"> Like</w:t>
      </w:r>
      <w:r w:rsidR="00053000">
        <w:t xml:space="preserve"> in</w:t>
      </w:r>
      <w:r w:rsidR="00481A65">
        <w:t xml:space="preserve"> most learning environments, players are able to game the system – or systematically misuse the game’s features to solve a level</w:t>
      </w:r>
      <w:r w:rsidR="00BB2D31">
        <w:t xml:space="preserve"> [</w:t>
      </w:r>
      <w:r w:rsidR="003E4768">
        <w:fldChar w:fldCharType="begin"/>
      </w:r>
      <w:r w:rsidR="00AE2FE0">
        <w:instrText xml:space="preserve"> REF _Ref288734156 \r \h </w:instrText>
      </w:r>
      <w:r w:rsidR="003E4768">
        <w:fldChar w:fldCharType="separate"/>
      </w:r>
      <w:r w:rsidR="004E19EC">
        <w:t>1</w:t>
      </w:r>
      <w:r w:rsidR="003E4768">
        <w:fldChar w:fldCharType="end"/>
      </w:r>
      <w:r w:rsidR="00BB2D31">
        <w:t>] – within PP through stacking</w:t>
      </w:r>
      <w:r w:rsidR="00481A65">
        <w:t>.</w:t>
      </w:r>
      <w:r w:rsidR="00BB2D31">
        <w:t xml:space="preserve"> Stacking is done when players draw freeform objects to either prop the ball forward or upward</w:t>
      </w:r>
      <w:r w:rsidR="00053000">
        <w:t>, which may have bee</w:t>
      </w:r>
      <w:r w:rsidR="00BB2D31">
        <w:t xml:space="preserve">n the case </w:t>
      </w:r>
      <w:r w:rsidR="00053000">
        <w:t xml:space="preserve">in </w:t>
      </w:r>
      <w:r w:rsidR="00BB2D31">
        <w:t>sequence 3.</w:t>
      </w:r>
      <w:r>
        <w:t xml:space="preserve"> </w:t>
      </w:r>
      <w:r w:rsidR="00792EFF">
        <w:t xml:space="preserve">Sequence </w:t>
      </w:r>
      <w:r>
        <w:t xml:space="preserve">6 shows students drawing only correct agents. </w:t>
      </w:r>
      <w:r w:rsidR="009066B3">
        <w:t xml:space="preserve">These sequences </w:t>
      </w:r>
      <w:r w:rsidR="009066B3" w:rsidRPr="00660D60">
        <w:t>having significant correlations with confusion</w:t>
      </w:r>
      <w:r w:rsidR="009066B3" w:rsidDel="009066B3">
        <w:t xml:space="preserve"> </w:t>
      </w:r>
      <w:r>
        <w:t>may imply lesser understanding</w:t>
      </w:r>
      <w:r w:rsidR="009066B3">
        <w:t xml:space="preserve"> among confused students</w:t>
      </w:r>
      <w:r>
        <w:t xml:space="preserve"> as the </w:t>
      </w:r>
      <w:r w:rsidR="009066B3">
        <w:t>they are</w:t>
      </w:r>
      <w:r>
        <w:t xml:space="preserve"> not only dealing with proper agent execution, but also </w:t>
      </w:r>
      <w:r w:rsidR="004C5769">
        <w:t xml:space="preserve">with deciding </w:t>
      </w:r>
      <w:r>
        <w:t>which agent would best solve the level.</w:t>
      </w:r>
      <w:r w:rsidR="00BB2D31">
        <w:t xml:space="preserve"> Despite the challenges faced by these students, however, they still managed to find a solution to the level.</w:t>
      </w:r>
      <w:r>
        <w:t xml:space="preserve"> </w:t>
      </w:r>
      <w:r w:rsidR="009066B3">
        <w:t>Our findings suggest that the</w:t>
      </w:r>
      <w:r>
        <w:t xml:space="preserve"> i</w:t>
      </w:r>
      <w:r w:rsidRPr="00660D60">
        <w:t xml:space="preserve">nability to grasp the physics concepts surrounding the agents </w:t>
      </w:r>
      <w:r w:rsidR="00BB2D31">
        <w:t>is</w:t>
      </w:r>
      <w:r w:rsidRPr="00660D60">
        <w:t xml:space="preserve"> a sign of confusion.</w:t>
      </w:r>
    </w:p>
    <w:p w14:paraId="7FDE3DFC" w14:textId="77777777" w:rsidR="00660D60" w:rsidRPr="009B1D59" w:rsidRDefault="00660D60" w:rsidP="00660D60">
      <w:pPr>
        <w:pStyle w:val="tabletitle"/>
        <w:spacing w:after="240"/>
        <w:jc w:val="center"/>
        <w:rPr>
          <w:lang w:val="en-GB"/>
        </w:rPr>
      </w:pPr>
      <w:proofErr w:type="gramStart"/>
      <w:r w:rsidRPr="009B1D59">
        <w:rPr>
          <w:b/>
          <w:lang w:val="en-GB"/>
        </w:rPr>
        <w:t xml:space="preserve">Table </w:t>
      </w:r>
      <w:proofErr w:type="gramEnd"/>
      <w:r w:rsidR="003E4768">
        <w:rPr>
          <w:b/>
        </w:rPr>
        <w:fldChar w:fldCharType="begin"/>
      </w:r>
      <w:r w:rsidRPr="009B1D59">
        <w:rPr>
          <w:b/>
          <w:lang w:val="en-GB"/>
        </w:rPr>
        <w:instrText xml:space="preserve"> SEQ Table \n </w:instrText>
      </w:r>
      <w:r w:rsidR="003E4768">
        <w:rPr>
          <w:b/>
        </w:rPr>
        <w:fldChar w:fldCharType="separate"/>
      </w:r>
      <w:r w:rsidR="004E19EC">
        <w:rPr>
          <w:b/>
          <w:noProof/>
          <w:lang w:val="en-GB"/>
        </w:rPr>
        <w:t>4</w:t>
      </w:r>
      <w:r w:rsidR="003E4768">
        <w:rPr>
          <w:b/>
        </w:rPr>
        <w:fldChar w:fldCharType="end"/>
      </w:r>
      <w:proofErr w:type="gramStart"/>
      <w:r w:rsidRPr="009B1D59">
        <w:rPr>
          <w:b/>
          <w:lang w:val="en-GB"/>
        </w:rPr>
        <w:t>.</w:t>
      </w:r>
      <w:proofErr w:type="gramEnd"/>
      <w:r w:rsidRPr="009B1D59">
        <w:rPr>
          <w:lang w:val="en-GB"/>
        </w:rPr>
        <w:t xml:space="preserve"> </w:t>
      </w:r>
      <w:r>
        <w:rPr>
          <w:lang w:val="en-GB"/>
        </w:rPr>
        <w:t xml:space="preserve"> </w:t>
      </w:r>
      <w:r w:rsidRPr="00601395">
        <w:rPr>
          <w:szCs w:val="18"/>
          <w:lang w:val="en-US"/>
        </w:rPr>
        <w:t xml:space="preserve">Correlations between </w:t>
      </w:r>
      <w:proofErr w:type="gramStart"/>
      <w:r w:rsidR="00B37108">
        <w:rPr>
          <w:szCs w:val="18"/>
          <w:lang w:val="en-US"/>
        </w:rPr>
        <w:t>top</w:t>
      </w:r>
      <w:proofErr w:type="gramEnd"/>
      <w:r w:rsidR="00B37108">
        <w:rPr>
          <w:szCs w:val="18"/>
          <w:lang w:val="en-US"/>
        </w:rPr>
        <w:t xml:space="preserve"> 6 </w:t>
      </w:r>
      <w:r w:rsidR="00CD3E31">
        <w:rPr>
          <w:szCs w:val="18"/>
          <w:lang w:val="en-US"/>
        </w:rPr>
        <w:t xml:space="preserve">unsolved </w:t>
      </w:r>
      <w:r w:rsidRPr="00601395">
        <w:rPr>
          <w:szCs w:val="18"/>
          <w:lang w:val="en-US"/>
        </w:rPr>
        <w:t>s</w:t>
      </w:r>
      <w:r w:rsidR="00FA0C3A">
        <w:rPr>
          <w:szCs w:val="18"/>
          <w:lang w:val="en-US"/>
        </w:rPr>
        <w:t>equences</w:t>
      </w:r>
      <w:r w:rsidR="00BC5ED3">
        <w:rPr>
          <w:szCs w:val="18"/>
          <w:lang w:val="en-US"/>
        </w:rPr>
        <w:t>, confusion, and boredom</w:t>
      </w:r>
      <w:r w:rsidRPr="009B1D59">
        <w:rPr>
          <w:szCs w:val="18"/>
          <w:lang w:val="en-US"/>
        </w:rPr>
        <w:t>.</w:t>
      </w:r>
    </w:p>
    <w:tbl>
      <w:tblPr>
        <w:tblStyle w:val="TableGrid"/>
        <w:tblW w:w="5383" w:type="dxa"/>
        <w:jc w:val="center"/>
        <w:tblInd w:w="-6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85"/>
        <w:gridCol w:w="785"/>
        <w:gridCol w:w="785"/>
        <w:gridCol w:w="785"/>
        <w:gridCol w:w="785"/>
        <w:gridCol w:w="785"/>
      </w:tblGrid>
      <w:tr w:rsidR="00CC7487" w14:paraId="02A3E40E" w14:textId="77777777" w:rsidTr="00B37108">
        <w:trPr>
          <w:jc w:val="center"/>
        </w:trPr>
        <w:tc>
          <w:tcPr>
            <w:tcW w:w="673" w:type="dxa"/>
            <w:tcBorders>
              <w:bottom w:val="nil"/>
            </w:tcBorders>
          </w:tcPr>
          <w:p w14:paraId="0BFCF69B" w14:textId="77777777" w:rsidR="00CC7487" w:rsidRDefault="00CC7487" w:rsidP="002D2871">
            <w:pPr>
              <w:ind w:firstLine="0"/>
            </w:pPr>
          </w:p>
        </w:tc>
        <w:tc>
          <w:tcPr>
            <w:tcW w:w="4710" w:type="dxa"/>
            <w:gridSpan w:val="6"/>
            <w:tcBorders>
              <w:bottom w:val="nil"/>
            </w:tcBorders>
          </w:tcPr>
          <w:p w14:paraId="028D5288" w14:textId="77777777" w:rsidR="00CC7487" w:rsidRDefault="00CC7487" w:rsidP="00FA0C3A">
            <w:pPr>
              <w:ind w:firstLine="0"/>
              <w:jc w:val="center"/>
            </w:pPr>
            <w:r>
              <w:t xml:space="preserve">Top 6 </w:t>
            </w:r>
            <w:r w:rsidR="00E35F36">
              <w:t xml:space="preserve">unsolved </w:t>
            </w:r>
            <w:r>
              <w:t xml:space="preserve">learning </w:t>
            </w:r>
            <w:r w:rsidR="00FA0C3A">
              <w:t>sequences</w:t>
            </w:r>
            <w:r w:rsidR="00FA0C3A" w:rsidDel="00CC7487">
              <w:t xml:space="preserve"> </w:t>
            </w:r>
          </w:p>
        </w:tc>
      </w:tr>
      <w:tr w:rsidR="00CC7487" w14:paraId="3B6292F9" w14:textId="77777777" w:rsidTr="00B37108">
        <w:trPr>
          <w:jc w:val="center"/>
        </w:trPr>
        <w:tc>
          <w:tcPr>
            <w:tcW w:w="673" w:type="dxa"/>
            <w:tcBorders>
              <w:top w:val="nil"/>
              <w:bottom w:val="single" w:sz="4" w:space="0" w:color="auto"/>
            </w:tcBorders>
          </w:tcPr>
          <w:p w14:paraId="6470ACDA" w14:textId="77777777" w:rsidR="00CC7487" w:rsidRDefault="00CC7487" w:rsidP="002D2871">
            <w:pPr>
              <w:ind w:firstLine="0"/>
            </w:pPr>
          </w:p>
        </w:tc>
        <w:tc>
          <w:tcPr>
            <w:tcW w:w="785" w:type="dxa"/>
            <w:tcBorders>
              <w:top w:val="nil"/>
              <w:bottom w:val="single" w:sz="4" w:space="0" w:color="auto"/>
            </w:tcBorders>
          </w:tcPr>
          <w:p w14:paraId="51A407C6" w14:textId="77777777" w:rsidR="00CC7487" w:rsidRDefault="00CC7487" w:rsidP="002D2871">
            <w:pPr>
              <w:ind w:firstLine="0"/>
              <w:jc w:val="center"/>
            </w:pPr>
            <w:r>
              <w:t>1</w:t>
            </w:r>
          </w:p>
        </w:tc>
        <w:tc>
          <w:tcPr>
            <w:tcW w:w="785" w:type="dxa"/>
            <w:tcBorders>
              <w:top w:val="nil"/>
              <w:bottom w:val="single" w:sz="4" w:space="0" w:color="auto"/>
            </w:tcBorders>
          </w:tcPr>
          <w:p w14:paraId="1CCB0E4C" w14:textId="77777777" w:rsidR="00CC7487" w:rsidRDefault="00CC7487" w:rsidP="002D2871">
            <w:pPr>
              <w:ind w:firstLine="0"/>
              <w:jc w:val="center"/>
            </w:pPr>
            <w:r>
              <w:t>2</w:t>
            </w:r>
          </w:p>
        </w:tc>
        <w:tc>
          <w:tcPr>
            <w:tcW w:w="785" w:type="dxa"/>
            <w:tcBorders>
              <w:top w:val="nil"/>
              <w:bottom w:val="single" w:sz="4" w:space="0" w:color="auto"/>
            </w:tcBorders>
          </w:tcPr>
          <w:p w14:paraId="34F04B82" w14:textId="77777777" w:rsidR="00CC7487" w:rsidRDefault="00CC7487" w:rsidP="002D2871">
            <w:pPr>
              <w:ind w:firstLine="0"/>
              <w:jc w:val="center"/>
            </w:pPr>
            <w:r>
              <w:t>3</w:t>
            </w:r>
          </w:p>
        </w:tc>
        <w:tc>
          <w:tcPr>
            <w:tcW w:w="785" w:type="dxa"/>
            <w:tcBorders>
              <w:top w:val="nil"/>
              <w:bottom w:val="single" w:sz="4" w:space="0" w:color="auto"/>
            </w:tcBorders>
          </w:tcPr>
          <w:p w14:paraId="018D8229" w14:textId="77777777" w:rsidR="00CC7487" w:rsidRDefault="00CC7487" w:rsidP="002D2871">
            <w:pPr>
              <w:ind w:firstLine="0"/>
              <w:jc w:val="center"/>
            </w:pPr>
            <w:r>
              <w:t>4</w:t>
            </w:r>
          </w:p>
        </w:tc>
        <w:tc>
          <w:tcPr>
            <w:tcW w:w="785" w:type="dxa"/>
            <w:tcBorders>
              <w:top w:val="nil"/>
              <w:bottom w:val="single" w:sz="4" w:space="0" w:color="auto"/>
            </w:tcBorders>
          </w:tcPr>
          <w:p w14:paraId="2CC720C2" w14:textId="77777777" w:rsidR="00CC7487" w:rsidRDefault="00CC7487" w:rsidP="002D2871">
            <w:pPr>
              <w:ind w:firstLine="0"/>
              <w:jc w:val="center"/>
            </w:pPr>
            <w:r>
              <w:t>5</w:t>
            </w:r>
          </w:p>
        </w:tc>
        <w:tc>
          <w:tcPr>
            <w:tcW w:w="785" w:type="dxa"/>
            <w:tcBorders>
              <w:top w:val="nil"/>
              <w:bottom w:val="single" w:sz="4" w:space="0" w:color="auto"/>
            </w:tcBorders>
          </w:tcPr>
          <w:p w14:paraId="6E407F5A" w14:textId="77777777" w:rsidR="00CC7487" w:rsidRDefault="00CC7487" w:rsidP="002D2871">
            <w:pPr>
              <w:ind w:firstLine="0"/>
              <w:jc w:val="center"/>
            </w:pPr>
            <w:r>
              <w:t>6</w:t>
            </w:r>
          </w:p>
        </w:tc>
      </w:tr>
      <w:tr w:rsidR="00CC7487" w14:paraId="34F00F68" w14:textId="77777777" w:rsidTr="00B37108">
        <w:trPr>
          <w:jc w:val="center"/>
        </w:trPr>
        <w:tc>
          <w:tcPr>
            <w:tcW w:w="673" w:type="dxa"/>
            <w:tcBorders>
              <w:top w:val="single" w:sz="4" w:space="0" w:color="auto"/>
            </w:tcBorders>
          </w:tcPr>
          <w:p w14:paraId="4FAD32A6" w14:textId="77777777" w:rsidR="00CC7487" w:rsidRDefault="00CC7487" w:rsidP="002D2871">
            <w:pPr>
              <w:ind w:firstLine="0"/>
            </w:pPr>
            <w:r>
              <w:t>r, con</w:t>
            </w:r>
          </w:p>
        </w:tc>
        <w:tc>
          <w:tcPr>
            <w:tcW w:w="785" w:type="dxa"/>
            <w:tcBorders>
              <w:top w:val="single" w:sz="4" w:space="0" w:color="auto"/>
            </w:tcBorders>
          </w:tcPr>
          <w:p w14:paraId="427CDC20" w14:textId="77777777" w:rsidR="00CC7487" w:rsidRDefault="00CC7487" w:rsidP="00B37108">
            <w:pPr>
              <w:ind w:firstLine="0"/>
              <w:jc w:val="center"/>
            </w:pPr>
            <w:r>
              <w:t>-0.17</w:t>
            </w:r>
          </w:p>
        </w:tc>
        <w:tc>
          <w:tcPr>
            <w:tcW w:w="785" w:type="dxa"/>
            <w:tcBorders>
              <w:top w:val="single" w:sz="4" w:space="0" w:color="auto"/>
            </w:tcBorders>
          </w:tcPr>
          <w:p w14:paraId="4B159EF3" w14:textId="77777777" w:rsidR="00CC7487" w:rsidRDefault="00CC7487" w:rsidP="00B37108">
            <w:pPr>
              <w:ind w:firstLine="0"/>
              <w:jc w:val="center"/>
            </w:pPr>
            <w:r>
              <w:t>0.00</w:t>
            </w:r>
          </w:p>
        </w:tc>
        <w:tc>
          <w:tcPr>
            <w:tcW w:w="785" w:type="dxa"/>
            <w:tcBorders>
              <w:top w:val="single" w:sz="4" w:space="0" w:color="auto"/>
            </w:tcBorders>
            <w:shd w:val="clear" w:color="auto" w:fill="auto"/>
          </w:tcPr>
          <w:p w14:paraId="177FBCA0" w14:textId="77777777" w:rsidR="00CC7487" w:rsidRDefault="00CC7487" w:rsidP="00B37108">
            <w:pPr>
              <w:ind w:firstLine="0"/>
              <w:jc w:val="center"/>
            </w:pPr>
            <w:r>
              <w:t>-0.12</w:t>
            </w:r>
          </w:p>
        </w:tc>
        <w:tc>
          <w:tcPr>
            <w:tcW w:w="785" w:type="dxa"/>
            <w:tcBorders>
              <w:top w:val="single" w:sz="4" w:space="0" w:color="auto"/>
            </w:tcBorders>
          </w:tcPr>
          <w:p w14:paraId="1A7412A1" w14:textId="77777777" w:rsidR="00CC7487" w:rsidRDefault="00CC7487" w:rsidP="00B37108">
            <w:pPr>
              <w:ind w:firstLine="0"/>
              <w:jc w:val="center"/>
            </w:pPr>
            <w:r>
              <w:t>-0.01</w:t>
            </w:r>
          </w:p>
        </w:tc>
        <w:tc>
          <w:tcPr>
            <w:tcW w:w="785" w:type="dxa"/>
            <w:tcBorders>
              <w:top w:val="single" w:sz="4" w:space="0" w:color="auto"/>
            </w:tcBorders>
          </w:tcPr>
          <w:p w14:paraId="71FB6F6B" w14:textId="77777777" w:rsidR="00CC7487" w:rsidRDefault="00CC7487" w:rsidP="00B37108">
            <w:pPr>
              <w:ind w:firstLine="0"/>
              <w:jc w:val="center"/>
            </w:pPr>
            <w:r>
              <w:t>-0.06</w:t>
            </w:r>
          </w:p>
        </w:tc>
        <w:tc>
          <w:tcPr>
            <w:tcW w:w="785" w:type="dxa"/>
            <w:tcBorders>
              <w:top w:val="single" w:sz="4" w:space="0" w:color="auto"/>
            </w:tcBorders>
          </w:tcPr>
          <w:p w14:paraId="55EE6045" w14:textId="77777777" w:rsidR="00CC7487" w:rsidRDefault="00CC7487" w:rsidP="00B37108">
            <w:pPr>
              <w:ind w:firstLine="0"/>
              <w:jc w:val="center"/>
            </w:pPr>
            <w:r>
              <w:t>0.04</w:t>
            </w:r>
          </w:p>
        </w:tc>
      </w:tr>
      <w:tr w:rsidR="00CC7487" w14:paraId="2115755C" w14:textId="77777777" w:rsidTr="00B37108">
        <w:trPr>
          <w:jc w:val="center"/>
        </w:trPr>
        <w:tc>
          <w:tcPr>
            <w:tcW w:w="673" w:type="dxa"/>
          </w:tcPr>
          <w:p w14:paraId="788BE889" w14:textId="77777777" w:rsidR="00CC7487" w:rsidRDefault="00CC7487" w:rsidP="002D2871">
            <w:pPr>
              <w:ind w:firstLine="0"/>
            </w:pPr>
            <w:r>
              <w:t xml:space="preserve">r, </w:t>
            </w:r>
            <w:proofErr w:type="spellStart"/>
            <w:r>
              <w:t>bor</w:t>
            </w:r>
            <w:proofErr w:type="spellEnd"/>
          </w:p>
        </w:tc>
        <w:tc>
          <w:tcPr>
            <w:tcW w:w="785" w:type="dxa"/>
          </w:tcPr>
          <w:p w14:paraId="2A64D538" w14:textId="77777777" w:rsidR="00CC7487" w:rsidRDefault="00CC7487" w:rsidP="00B37108">
            <w:pPr>
              <w:ind w:firstLine="0"/>
              <w:jc w:val="center"/>
            </w:pPr>
            <w:r>
              <w:t>-0.12</w:t>
            </w:r>
          </w:p>
        </w:tc>
        <w:tc>
          <w:tcPr>
            <w:tcW w:w="785" w:type="dxa"/>
          </w:tcPr>
          <w:p w14:paraId="79548C26" w14:textId="77777777" w:rsidR="00CC7487" w:rsidRDefault="00CC7487" w:rsidP="00B37108">
            <w:pPr>
              <w:ind w:firstLine="0"/>
              <w:jc w:val="center"/>
            </w:pPr>
            <w:r>
              <w:t>0.13</w:t>
            </w:r>
          </w:p>
        </w:tc>
        <w:tc>
          <w:tcPr>
            <w:tcW w:w="785" w:type="dxa"/>
          </w:tcPr>
          <w:p w14:paraId="3B918098" w14:textId="77777777" w:rsidR="00CC7487" w:rsidRDefault="00CC7487" w:rsidP="00B37108">
            <w:pPr>
              <w:ind w:firstLine="0"/>
              <w:jc w:val="center"/>
            </w:pPr>
            <w:r>
              <w:t>0.12</w:t>
            </w:r>
          </w:p>
        </w:tc>
        <w:tc>
          <w:tcPr>
            <w:tcW w:w="785" w:type="dxa"/>
          </w:tcPr>
          <w:p w14:paraId="57FF2B8C" w14:textId="77777777" w:rsidR="00CC7487" w:rsidRDefault="00CC7487" w:rsidP="00B37108">
            <w:pPr>
              <w:ind w:firstLine="0"/>
              <w:jc w:val="center"/>
            </w:pPr>
            <w:r>
              <w:t>-0.03</w:t>
            </w:r>
          </w:p>
        </w:tc>
        <w:tc>
          <w:tcPr>
            <w:tcW w:w="785" w:type="dxa"/>
            <w:shd w:val="clear" w:color="auto" w:fill="EEECE1" w:themeFill="background2"/>
          </w:tcPr>
          <w:p w14:paraId="73367C03" w14:textId="77777777" w:rsidR="00CC7487" w:rsidRDefault="00CC7487" w:rsidP="00B37108">
            <w:pPr>
              <w:ind w:firstLine="0"/>
              <w:jc w:val="center"/>
            </w:pPr>
            <w:r>
              <w:t>0.48*</w:t>
            </w:r>
          </w:p>
        </w:tc>
        <w:tc>
          <w:tcPr>
            <w:tcW w:w="785" w:type="dxa"/>
          </w:tcPr>
          <w:p w14:paraId="0C407D59" w14:textId="77777777" w:rsidR="00CC7487" w:rsidRDefault="00CC7487" w:rsidP="00B37108">
            <w:pPr>
              <w:ind w:firstLine="0"/>
              <w:jc w:val="center"/>
            </w:pPr>
            <w:r>
              <w:t>0.06</w:t>
            </w:r>
          </w:p>
        </w:tc>
      </w:tr>
    </w:tbl>
    <w:p w14:paraId="4F43FC79" w14:textId="77777777" w:rsidR="00660D60" w:rsidRPr="00657488" w:rsidRDefault="00660D60" w:rsidP="00660D60"/>
    <w:p w14:paraId="7E3994AE" w14:textId="7B595866" w:rsidR="00660D60" w:rsidRDefault="00660D60" w:rsidP="004C5769">
      <w:r>
        <w:t>T</w:t>
      </w:r>
      <w:r w:rsidR="00B17362">
        <w:t xml:space="preserve">able </w:t>
      </w:r>
      <w:r w:rsidR="004C5769">
        <w:t xml:space="preserve">4 </w:t>
      </w:r>
      <w:r w:rsidR="00B17362">
        <w:t xml:space="preserve">shows that </w:t>
      </w:r>
      <w:r w:rsidR="00B37108">
        <w:t xml:space="preserve">one </w:t>
      </w:r>
      <w:r w:rsidR="00B17362">
        <w:t xml:space="preserve">of the most frequently traversed </w:t>
      </w:r>
      <w:r w:rsidR="00E35F36">
        <w:t xml:space="preserve">unsolved </w:t>
      </w:r>
      <w:r w:rsidR="00B17362">
        <w:t xml:space="preserve">sequences </w:t>
      </w:r>
      <w:r w:rsidR="00B37108">
        <w:t xml:space="preserve">has a </w:t>
      </w:r>
      <w:r w:rsidR="00B17362">
        <w:t>significant positive correlation with boredom.</w:t>
      </w:r>
      <w:r w:rsidR="00CC18B0">
        <w:t xml:space="preserve"> </w:t>
      </w:r>
      <w:r w:rsidR="00B37108">
        <w:t>This sequence</w:t>
      </w:r>
      <w:r w:rsidR="00CC18B0">
        <w:t xml:space="preserve"> show</w:t>
      </w:r>
      <w:r w:rsidR="00CD3E31">
        <w:t>s</w:t>
      </w:r>
      <w:r w:rsidR="00CC18B0">
        <w:t xml:space="preserve"> students using only correct agents, but ultimately deciding to give up.</w:t>
      </w:r>
      <w:r w:rsidR="00600F74">
        <w:t xml:space="preserve"> This may have been caused by the inability to execute the agents correctly, which may imply that</w:t>
      </w:r>
      <w:r w:rsidR="0098662F">
        <w:t>, unlike confused students,</w:t>
      </w:r>
      <w:r w:rsidR="00600F74">
        <w:t xml:space="preserve"> bored students</w:t>
      </w:r>
      <w:r w:rsidR="003D7412">
        <w:t xml:space="preserve"> </w:t>
      </w:r>
      <w:r w:rsidR="0098662F">
        <w:t xml:space="preserve">were </w:t>
      </w:r>
      <w:r w:rsidR="003D7412">
        <w:t xml:space="preserve">not </w:t>
      </w:r>
      <w:r w:rsidR="0098662F">
        <w:t xml:space="preserve">likely to </w:t>
      </w:r>
      <w:r w:rsidR="003D7412">
        <w:t xml:space="preserve">exert additional effort to try to </w:t>
      </w:r>
      <w:r w:rsidR="00C07238">
        <w:t xml:space="preserve">solve the level or </w:t>
      </w:r>
      <w:r w:rsidR="003D7412">
        <w:t>understand proper agent execution.</w:t>
      </w:r>
      <w:r w:rsidR="00600F74">
        <w:t xml:space="preserve"> </w:t>
      </w:r>
      <w:r>
        <w:t>As mentioned previously, bore</w:t>
      </w:r>
      <w:r w:rsidR="00B17362">
        <w:t xml:space="preserve">dom has been found to have significant relationships with negative performance outcomes. In this case, sequences all ultimately led to </w:t>
      </w:r>
      <w:r w:rsidR="00842609">
        <w:t xml:space="preserve">disengagement: </w:t>
      </w:r>
      <w:r w:rsidR="00B17362">
        <w:t xml:space="preserve">students quitting the level </w:t>
      </w:r>
      <w:r w:rsidR="00842609">
        <w:t>before finding a solution</w:t>
      </w:r>
      <w:r w:rsidR="00B17362">
        <w:t>, showing signs of giving up and lack of understanding of any of the four agents.</w:t>
      </w:r>
    </w:p>
    <w:p w14:paraId="0209D88B" w14:textId="77777777" w:rsidR="001F5192" w:rsidRPr="001D63A8" w:rsidRDefault="00660D60" w:rsidP="001F5192">
      <w:pPr>
        <w:pStyle w:val="heading10"/>
      </w:pPr>
      <w:r>
        <w:lastRenderedPageBreak/>
        <w:t>4</w:t>
      </w:r>
      <w:r w:rsidRPr="009A3755">
        <w:t xml:space="preserve"> </w:t>
      </w:r>
      <w:r w:rsidR="00172BC6">
        <w:t>Conclusions</w:t>
      </w:r>
      <w:r w:rsidR="00FB0E53">
        <w:t xml:space="preserve"> and Future Work</w:t>
      </w:r>
    </w:p>
    <w:p w14:paraId="4EC4ED64" w14:textId="77777777" w:rsidR="000A7510" w:rsidRDefault="00866E3A" w:rsidP="002D2871">
      <w:pPr>
        <w:pStyle w:val="p1a"/>
      </w:pPr>
      <w:r>
        <w:t>T</w:t>
      </w:r>
      <w:r w:rsidR="003C39F5">
        <w:t xml:space="preserve">his study sought to identify </w:t>
      </w:r>
      <w:r w:rsidR="00E37DAC">
        <w:t>the most frequently traversed student action sequences</w:t>
      </w:r>
      <w:r w:rsidR="00792BFF">
        <w:t xml:space="preserve"> among eighth grade students while interacting with an education game for physics called </w:t>
      </w:r>
      <w:r w:rsidR="00DF13DB">
        <w:t xml:space="preserve">Physics </w:t>
      </w:r>
      <w:r w:rsidR="00792BFF">
        <w:t xml:space="preserve">Playground. Further, the study sought to investigate how these </w:t>
      </w:r>
      <w:r w:rsidR="00E37DAC">
        <w:t xml:space="preserve">sequences </w:t>
      </w:r>
      <w:r w:rsidR="003C39F5">
        <w:t>may be indicative of affective states</w:t>
      </w:r>
      <w:r w:rsidR="007A2456">
        <w:t>, particularly boredom and confusion, which have been found to significantly affect student learning.</w:t>
      </w:r>
    </w:p>
    <w:p w14:paraId="73D3E534" w14:textId="77777777" w:rsidR="002E46D0" w:rsidRDefault="000A7510" w:rsidP="003C39F5">
      <w:pPr>
        <w:pStyle w:val="p1a"/>
        <w:ind w:firstLine="230"/>
      </w:pPr>
      <w:r>
        <w:t xml:space="preserve">Data-driven sequence mining techniques were conducted to identify </w:t>
      </w:r>
      <w:r w:rsidR="00E37DAC">
        <w:t xml:space="preserve">most frequently traversed actions sequences in two categories: </w:t>
      </w:r>
      <w:r w:rsidR="004C5769">
        <w:t xml:space="preserve">the </w:t>
      </w:r>
      <w:r w:rsidR="00E37DAC">
        <w:t xml:space="preserve">sequences </w:t>
      </w:r>
      <w:r w:rsidR="004C5769">
        <w:t>that would eventually lead the student to a silver badge</w:t>
      </w:r>
      <w:r w:rsidR="00E37DAC">
        <w:t>, and</w:t>
      </w:r>
      <w:r>
        <w:t xml:space="preserve"> the paths that would eventually lead the student to not earning a badge.</w:t>
      </w:r>
    </w:p>
    <w:p w14:paraId="230CDE80" w14:textId="14485B59" w:rsidR="002E46D0" w:rsidRDefault="008C14C3" w:rsidP="003C39F5">
      <w:pPr>
        <w:pStyle w:val="p1a"/>
        <w:ind w:firstLine="230"/>
      </w:pPr>
      <w:r>
        <w:t xml:space="preserve">In </w:t>
      </w:r>
      <w:r w:rsidR="000A7510">
        <w:t xml:space="preserve">the </w:t>
      </w:r>
      <w:r w:rsidR="00CD3E31">
        <w:t>silver</w:t>
      </w:r>
      <w:r w:rsidR="000A7510">
        <w:t xml:space="preserve"> </w:t>
      </w:r>
      <w:r w:rsidR="00E37DAC">
        <w:t>sequences</w:t>
      </w:r>
      <w:r>
        <w:t xml:space="preserve">, </w:t>
      </w:r>
      <w:r w:rsidR="000A7510">
        <w:t>students play</w:t>
      </w:r>
      <w:r>
        <w:t>ed</w:t>
      </w:r>
      <w:r w:rsidR="000A7510">
        <w:t xml:space="preserve"> around with freeform objects and some of the four agents in attempti</w:t>
      </w:r>
      <w:r w:rsidR="002D2871">
        <w:t xml:space="preserve">ng to solve the level. </w:t>
      </w:r>
      <w:r w:rsidR="002E46D0">
        <w:t xml:space="preserve">The study found confusion to correlate significantly with </w:t>
      </w:r>
      <w:r w:rsidR="00E37DAC">
        <w:t xml:space="preserve">two </w:t>
      </w:r>
      <w:r w:rsidR="002E46D0">
        <w:t xml:space="preserve">of the </w:t>
      </w:r>
      <w:r w:rsidR="00CD3E31">
        <w:t xml:space="preserve">silver </w:t>
      </w:r>
      <w:r w:rsidR="00E37DAC">
        <w:t>sequences</w:t>
      </w:r>
      <w:r w:rsidR="002E46D0">
        <w:t>, which supports previous findings regarding the relationship between confusion and in-game achievement</w:t>
      </w:r>
      <w:r w:rsidR="00E37DAC">
        <w:t xml:space="preserve">, which suggest that because students are unable to grasp the concepts surrounding the agents and their executions, students resort to finding other </w:t>
      </w:r>
      <w:r w:rsidR="00CD3B7F">
        <w:t>solutions.</w:t>
      </w:r>
    </w:p>
    <w:p w14:paraId="3FC0897A" w14:textId="77777777" w:rsidR="00211702" w:rsidRDefault="00EE55BE" w:rsidP="007D554E">
      <w:r>
        <w:t>In the u</w:t>
      </w:r>
      <w:r w:rsidR="00CD3E31">
        <w:t xml:space="preserve">nsolved </w:t>
      </w:r>
      <w:r w:rsidR="00E37DAC">
        <w:t>sequences</w:t>
      </w:r>
      <w:r w:rsidR="002E46D0">
        <w:t>, s</w:t>
      </w:r>
      <w:r w:rsidR="000A7510">
        <w:t xml:space="preserve">tudents would give up and quit without finding a solution, despite already using the correct agents to solve the level. </w:t>
      </w:r>
      <w:r w:rsidR="002E46D0">
        <w:t xml:space="preserve">The study found boredom to correlate significantly with </w:t>
      </w:r>
      <w:r w:rsidR="00E37DAC">
        <w:t xml:space="preserve">one </w:t>
      </w:r>
      <w:r w:rsidR="002E46D0">
        <w:t xml:space="preserve">of the </w:t>
      </w:r>
      <w:r w:rsidR="00CD3E31">
        <w:t>unsolved</w:t>
      </w:r>
      <w:r w:rsidR="00FA0C3A">
        <w:t xml:space="preserve"> </w:t>
      </w:r>
      <w:r w:rsidR="002E46D0">
        <w:t>s</w:t>
      </w:r>
      <w:r w:rsidR="00FA0C3A">
        <w:t>equences</w:t>
      </w:r>
      <w:r w:rsidR="00DF13DB">
        <w:t xml:space="preserve">. This finding </w:t>
      </w:r>
      <w:r w:rsidR="002E46D0">
        <w:t>support</w:t>
      </w:r>
      <w:r w:rsidR="00DF13DB">
        <w:t>s the</w:t>
      </w:r>
      <w:r w:rsidR="002E46D0">
        <w:t xml:space="preserve"> literature that has shown </w:t>
      </w:r>
      <w:r w:rsidR="00DF13DB">
        <w:t>that boredom</w:t>
      </w:r>
      <w:r w:rsidR="002E46D0">
        <w:t xml:space="preserve"> relate</w:t>
      </w:r>
      <w:r w:rsidR="00DF13DB">
        <w:t>s</w:t>
      </w:r>
      <w:r w:rsidR="002E46D0">
        <w:t xml:space="preserve"> </w:t>
      </w:r>
      <w:r w:rsidR="00DF13DB">
        <w:t xml:space="preserve">to </w:t>
      </w:r>
      <w:r w:rsidR="002E46D0">
        <w:t>poor learning outcomes.</w:t>
      </w:r>
      <w:r w:rsidR="007D554E">
        <w:t xml:space="preserve"> This work provides further evidence that boredom and disengagement from learning go hand-in-hand.</w:t>
      </w:r>
    </w:p>
    <w:p w14:paraId="5866D0E8" w14:textId="75B72DB9" w:rsidR="00FB0E53" w:rsidRPr="0019191A" w:rsidRDefault="00CC2C8C" w:rsidP="00481A65">
      <w:pPr>
        <w:ind w:firstLine="230"/>
      </w:pPr>
      <w:r>
        <w:t>This study provides specific sequences of student actions that are indicative of the boredom and confusion</w:t>
      </w:r>
      <w:r w:rsidR="002E46D0">
        <w:t xml:space="preserve">, which </w:t>
      </w:r>
      <w:r w:rsidR="00DF13DB">
        <w:t xml:space="preserve">has </w:t>
      </w:r>
      <w:r w:rsidR="002E46D0">
        <w:t xml:space="preserve">implications on the design and </w:t>
      </w:r>
      <w:r w:rsidR="007D554E">
        <w:t xml:space="preserve">further </w:t>
      </w:r>
      <w:r w:rsidR="002E46D0">
        <w:t xml:space="preserve">development </w:t>
      </w:r>
      <w:r w:rsidR="007D554E">
        <w:t xml:space="preserve">of </w:t>
      </w:r>
      <w:r w:rsidR="00DF13DB">
        <w:t xml:space="preserve">Physics </w:t>
      </w:r>
      <w:r w:rsidR="007D554E">
        <w:t xml:space="preserve">Playground. </w:t>
      </w:r>
      <w:r w:rsidR="00EE55BE">
        <w:t xml:space="preserve">This study </w:t>
      </w:r>
      <w:r>
        <w:t xml:space="preserve">also </w:t>
      </w:r>
      <w:r w:rsidR="00EE55BE">
        <w:t xml:space="preserve">contributes to the literature by </w:t>
      </w:r>
      <w:r w:rsidR="00FC63F7">
        <w:t>providing</w:t>
      </w:r>
      <w:r w:rsidR="00EE55BE">
        <w:t xml:space="preserve"> empirical </w:t>
      </w:r>
      <w:r w:rsidR="00CE36C0">
        <w:t>support</w:t>
      </w:r>
      <w:r w:rsidR="00EE55BE">
        <w:t xml:space="preserve"> </w:t>
      </w:r>
      <w:r w:rsidR="007D554E">
        <w:t>that boredom</w:t>
      </w:r>
      <w:r w:rsidR="00D23930">
        <w:t xml:space="preserve"> and confusion</w:t>
      </w:r>
      <w:r w:rsidR="007D554E">
        <w:t xml:space="preserve"> </w:t>
      </w:r>
      <w:r w:rsidR="00D23930">
        <w:t>are</w:t>
      </w:r>
      <w:r w:rsidR="007D554E">
        <w:t xml:space="preserve"> affective state</w:t>
      </w:r>
      <w:r w:rsidR="00D23930">
        <w:t>s</w:t>
      </w:r>
      <w:r w:rsidR="007D554E">
        <w:t xml:space="preserve"> that </w:t>
      </w:r>
      <w:r w:rsidR="00FC63F7">
        <w:t>influence performance outcomes within open-ended learning environments, and are thus affective states that</w:t>
      </w:r>
      <w:r w:rsidR="000A14ED">
        <w:t xml:space="preserve"> learning</w:t>
      </w:r>
      <w:r w:rsidR="007D554E">
        <w:t xml:space="preserve"> environments must focus on detecting and providing </w:t>
      </w:r>
      <w:r w:rsidR="00540D54">
        <w:t xml:space="preserve">remediation </w:t>
      </w:r>
      <w:r w:rsidR="007D554E">
        <w:t xml:space="preserve">to. We found </w:t>
      </w:r>
      <w:r w:rsidR="00BE231B">
        <w:t>that both</w:t>
      </w:r>
      <w:r w:rsidR="007D554E">
        <w:t xml:space="preserve"> bored </w:t>
      </w:r>
      <w:r w:rsidR="00BE231B">
        <w:t xml:space="preserve">and confused </w:t>
      </w:r>
      <w:r w:rsidR="007D554E">
        <w:t>students will tend to continuously use correct agents</w:t>
      </w:r>
      <w:r w:rsidR="00BE231B">
        <w:t xml:space="preserve"> in attempting to solve levels</w:t>
      </w:r>
      <w:r w:rsidR="00C054F2">
        <w:t xml:space="preserve">, </w:t>
      </w:r>
      <w:r w:rsidR="007D554E">
        <w:t xml:space="preserve">but </w:t>
      </w:r>
      <w:r w:rsidR="00DF13DB">
        <w:t xml:space="preserve">execute </w:t>
      </w:r>
      <w:r w:rsidR="007D554E">
        <w:t xml:space="preserve">them </w:t>
      </w:r>
      <w:r w:rsidR="00BE231B">
        <w:t>in</w:t>
      </w:r>
      <w:r w:rsidR="007D554E">
        <w:t>correctly</w:t>
      </w:r>
      <w:r w:rsidR="00D23930">
        <w:t>.</w:t>
      </w:r>
      <w:r w:rsidR="00481A65" w:rsidRPr="00481A65">
        <w:t xml:space="preserve"> </w:t>
      </w:r>
      <w:r w:rsidR="00BE231B">
        <w:t>The difference between the two, however, is that confused students tend to end up solving the level, while bored students give up.</w:t>
      </w:r>
    </w:p>
    <w:p w14:paraId="7B6927F9" w14:textId="066B8EFC" w:rsidR="00FC63F7" w:rsidRDefault="0032214E" w:rsidP="00FB0E53">
      <w:pPr>
        <w:ind w:firstLine="230"/>
      </w:pPr>
      <w:r>
        <w:t xml:space="preserve">The analyses run in this paper were part of a bigger investigation, and as such, there are several interesting </w:t>
      </w:r>
      <w:r w:rsidR="00FC63F7">
        <w:t>ways forward</w:t>
      </w:r>
      <w:r>
        <w:t xml:space="preserve"> in light of our findings. </w:t>
      </w:r>
      <w:r w:rsidR="00FC63F7">
        <w:t xml:space="preserve">The paper aims for its findings to contribute to the creation of a tool that can automatically detect affect given a sequence of student interactions, and provide necessary </w:t>
      </w:r>
      <w:r w:rsidR="00540D54">
        <w:t>remediation</w:t>
      </w:r>
      <w:r w:rsidR="00FC63F7">
        <w:t xml:space="preserve"> in order to curb student experience</w:t>
      </w:r>
      <w:r w:rsidR="00540D54">
        <w:t>s</w:t>
      </w:r>
      <w:r w:rsidR="00FC63F7">
        <w:t xml:space="preserve"> of boredom.</w:t>
      </w:r>
    </w:p>
    <w:p w14:paraId="0C2F778B" w14:textId="1414992A" w:rsidR="0032214E" w:rsidRDefault="0032214E" w:rsidP="00FB0E53">
      <w:pPr>
        <w:ind w:firstLine="230"/>
      </w:pPr>
      <w:r>
        <w:t>Relationship analyses run between student action sequences and incidences of affect in this paper were done through correlation</w:t>
      </w:r>
      <w:r w:rsidR="00FB0E53">
        <w:t>s</w:t>
      </w:r>
      <w:r>
        <w:t>. However, findings were not able to determine whether boredom or confusion occurred more frequently during specific action sequences.</w:t>
      </w:r>
      <w:r w:rsidR="00FB0E53">
        <w:t xml:space="preserve"> We want to find out whether boredom or confusion occurred before, during, or after the students’ execution of the action sequences, and in doing so, see whether or not the affective states were causes or effects of the action sequence executions.</w:t>
      </w:r>
      <w:r w:rsidR="00E4115F">
        <w:t xml:space="preserve"> We are currently investigating this relationship in a separate study.</w:t>
      </w:r>
    </w:p>
    <w:p w14:paraId="1409BB2F" w14:textId="77777777" w:rsidR="000910C2" w:rsidRPr="000910C2" w:rsidRDefault="000910C2" w:rsidP="0095068A">
      <w:pPr>
        <w:pStyle w:val="heading10"/>
        <w:rPr>
          <w:b w:val="0"/>
          <w:sz w:val="20"/>
        </w:rPr>
      </w:pPr>
      <w:r w:rsidRPr="000910C2">
        <w:rPr>
          <w:sz w:val="20"/>
        </w:rPr>
        <w:lastRenderedPageBreak/>
        <w:t>Acknowledgements.</w:t>
      </w:r>
      <w:r>
        <w:rPr>
          <w:b w:val="0"/>
          <w:sz w:val="20"/>
        </w:rPr>
        <w:t xml:space="preserve"> </w:t>
      </w:r>
      <w:r w:rsidR="00F25865" w:rsidRPr="00F25865">
        <w:rPr>
          <w:b w:val="0"/>
          <w:sz w:val="20"/>
        </w:rPr>
        <w:t xml:space="preserve">We would like to thank the Ateneo Center for Educational Development, Carmela C. Oracion, Christopher Ryan Adalem, </w:t>
      </w:r>
      <w:r w:rsidR="00F25865">
        <w:rPr>
          <w:b w:val="0"/>
          <w:sz w:val="20"/>
        </w:rPr>
        <w:t xml:space="preserve">and </w:t>
      </w:r>
      <w:r w:rsidR="00F25865" w:rsidRPr="00F25865">
        <w:rPr>
          <w:b w:val="0"/>
          <w:sz w:val="20"/>
        </w:rPr>
        <w:t xml:space="preserve">the officials at </w:t>
      </w:r>
      <w:proofErr w:type="spellStart"/>
      <w:r w:rsidR="00F25865" w:rsidRPr="00F25865">
        <w:rPr>
          <w:b w:val="0"/>
          <w:sz w:val="20"/>
        </w:rPr>
        <w:t>Krus</w:t>
      </w:r>
      <w:proofErr w:type="spellEnd"/>
      <w:r w:rsidR="00F25865" w:rsidRPr="00F25865">
        <w:rPr>
          <w:b w:val="0"/>
          <w:sz w:val="20"/>
        </w:rPr>
        <w:t xml:space="preserve"> Na </w:t>
      </w:r>
      <w:proofErr w:type="spellStart"/>
      <w:r w:rsidR="00F25865" w:rsidRPr="00F25865">
        <w:rPr>
          <w:b w:val="0"/>
          <w:sz w:val="20"/>
        </w:rPr>
        <w:t>Ligas</w:t>
      </w:r>
      <w:proofErr w:type="spellEnd"/>
      <w:r w:rsidR="00F25865" w:rsidRPr="00F25865">
        <w:rPr>
          <w:b w:val="0"/>
          <w:sz w:val="20"/>
        </w:rPr>
        <w:t xml:space="preserve"> High School</w:t>
      </w:r>
      <w:r w:rsidR="00053000">
        <w:rPr>
          <w:b w:val="0"/>
          <w:sz w:val="20"/>
        </w:rPr>
        <w:t xml:space="preserve">, </w:t>
      </w:r>
      <w:r w:rsidR="00F25865">
        <w:rPr>
          <w:b w:val="0"/>
          <w:sz w:val="20"/>
        </w:rPr>
        <w:t xml:space="preserve">Jessica O. Sugay, </w:t>
      </w:r>
      <w:r w:rsidR="00172BC6">
        <w:rPr>
          <w:b w:val="0"/>
          <w:sz w:val="20"/>
        </w:rPr>
        <w:t xml:space="preserve">Dr. </w:t>
      </w:r>
      <w:r w:rsidR="00F25865" w:rsidRPr="00F25865">
        <w:rPr>
          <w:b w:val="0"/>
          <w:sz w:val="20"/>
        </w:rPr>
        <w:t>Matthew Small, and the Gates Foundation Grant #OP106038 for collaborating with us.</w:t>
      </w:r>
    </w:p>
    <w:p w14:paraId="545EA994" w14:textId="77777777" w:rsidR="0095068A" w:rsidRPr="009A3755" w:rsidRDefault="0095068A" w:rsidP="0095068A">
      <w:pPr>
        <w:pStyle w:val="heading10"/>
      </w:pPr>
      <w:r w:rsidRPr="009A3755">
        <w:t>References</w:t>
      </w:r>
    </w:p>
    <w:p w14:paraId="4E9C72C0" w14:textId="77777777" w:rsidR="002B2579" w:rsidRDefault="002B2579" w:rsidP="00E37DAC">
      <w:pPr>
        <w:pStyle w:val="reference"/>
        <w:numPr>
          <w:ilvl w:val="0"/>
          <w:numId w:val="9"/>
        </w:numPr>
        <w:ind w:left="270" w:hanging="270"/>
      </w:pPr>
      <w:bookmarkStart w:id="3" w:name="_Ref288734156"/>
      <w:r w:rsidRPr="002B2579">
        <w:t xml:space="preserve">Baker, R. S., Corbett, A. T., </w:t>
      </w:r>
      <w:proofErr w:type="spellStart"/>
      <w:r w:rsidRPr="002B2579">
        <w:t>Koedinger</w:t>
      </w:r>
      <w:proofErr w:type="spellEnd"/>
      <w:r w:rsidRPr="002B2579">
        <w:t>, K. R., &amp; Wagner, A. Z. (2004). Off-task behavior in the cognitive tutor classroom: when students game the system. In Proceedings of the SIGCHI conference on Human factors in computing systems (pp. 383-390). ACM.</w:t>
      </w:r>
      <w:bookmarkEnd w:id="3"/>
    </w:p>
    <w:p w14:paraId="486EDD10" w14:textId="6054974B" w:rsidR="006F5336" w:rsidRDefault="006F5336" w:rsidP="001C6839">
      <w:pPr>
        <w:pStyle w:val="reference"/>
        <w:numPr>
          <w:ilvl w:val="0"/>
          <w:numId w:val="9"/>
        </w:numPr>
        <w:ind w:left="270" w:hanging="270"/>
      </w:pPr>
      <w:bookmarkStart w:id="4" w:name="_Ref292620370"/>
      <w:bookmarkStart w:id="5" w:name="_Ref288734550"/>
      <w:proofErr w:type="spellStart"/>
      <w:r w:rsidRPr="006F5336">
        <w:t>Biswas</w:t>
      </w:r>
      <w:proofErr w:type="spellEnd"/>
      <w:r w:rsidRPr="006F5336">
        <w:t xml:space="preserve">, G., </w:t>
      </w:r>
      <w:proofErr w:type="spellStart"/>
      <w:r w:rsidRPr="006F5336">
        <w:t>Kinnebrew</w:t>
      </w:r>
      <w:proofErr w:type="spellEnd"/>
      <w:r w:rsidRPr="006F5336">
        <w:t xml:space="preserve">, J. S., &amp; </w:t>
      </w:r>
      <w:proofErr w:type="spellStart"/>
      <w:r w:rsidRPr="006F5336">
        <w:t>Segedy</w:t>
      </w:r>
      <w:proofErr w:type="spellEnd"/>
      <w:r w:rsidRPr="006F5336">
        <w:t>, J. R. (2011). Using a Cognitive/Metacognitive Task Model to analyze Students Learning Behaviors.</w:t>
      </w:r>
      <w:bookmarkEnd w:id="4"/>
    </w:p>
    <w:p w14:paraId="6C072C9B" w14:textId="77777777" w:rsidR="00FF4244" w:rsidRDefault="00FF4244" w:rsidP="001C6839">
      <w:pPr>
        <w:pStyle w:val="reference"/>
        <w:numPr>
          <w:ilvl w:val="0"/>
          <w:numId w:val="9"/>
        </w:numPr>
        <w:ind w:left="270" w:hanging="270"/>
      </w:pPr>
      <w:bookmarkStart w:id="6" w:name="_Ref292621119"/>
      <w:r w:rsidRPr="00FF4244">
        <w:t>Cohen, J. (1960). A Coefficient of Agreement for Nominal Scales. Educational and Psychological Measurement, 20 (1960), 37-46.</w:t>
      </w:r>
      <w:bookmarkEnd w:id="5"/>
      <w:bookmarkEnd w:id="6"/>
    </w:p>
    <w:p w14:paraId="6A472341" w14:textId="77777777" w:rsidR="008135E6" w:rsidRDefault="008135E6" w:rsidP="001C6839">
      <w:pPr>
        <w:pStyle w:val="reference"/>
        <w:numPr>
          <w:ilvl w:val="0"/>
          <w:numId w:val="9"/>
        </w:numPr>
        <w:ind w:left="270" w:hanging="270"/>
      </w:pPr>
      <w:bookmarkStart w:id="7" w:name="_Ref288733912"/>
      <w:r w:rsidRPr="008135E6">
        <w:t xml:space="preserve">Craig, S., Graesser, A., </w:t>
      </w:r>
      <w:proofErr w:type="spellStart"/>
      <w:r w:rsidRPr="008135E6">
        <w:t>Sullins</w:t>
      </w:r>
      <w:proofErr w:type="spellEnd"/>
      <w:r w:rsidRPr="008135E6">
        <w:t xml:space="preserve">, J., &amp; Gholson, B. (2004). Affect and learning: an exploratory look into the role of affect in learning with </w:t>
      </w:r>
      <w:proofErr w:type="spellStart"/>
      <w:r w:rsidRPr="008135E6">
        <w:t>AutoTutor</w:t>
      </w:r>
      <w:proofErr w:type="spellEnd"/>
      <w:r w:rsidRPr="008135E6">
        <w:t>. Journal of Educational Media, 29(3), 241-250.</w:t>
      </w:r>
      <w:bookmarkEnd w:id="7"/>
    </w:p>
    <w:p w14:paraId="610F8292" w14:textId="675D2178" w:rsidR="001C6839" w:rsidRDefault="00AE2FE0" w:rsidP="002068C9">
      <w:pPr>
        <w:pStyle w:val="reference"/>
        <w:numPr>
          <w:ilvl w:val="0"/>
          <w:numId w:val="9"/>
        </w:numPr>
        <w:ind w:left="270" w:hanging="270"/>
      </w:pPr>
      <w:bookmarkStart w:id="8" w:name="_Ref288734225"/>
      <w:bookmarkStart w:id="9" w:name="_Ref288733946"/>
      <w:proofErr w:type="spellStart"/>
      <w:r w:rsidRPr="00AE2FE0">
        <w:t>Csikszentmihalyi</w:t>
      </w:r>
      <w:proofErr w:type="spellEnd"/>
      <w:r w:rsidRPr="00AE2FE0">
        <w:t xml:space="preserve">, M. (1990). Flow: The psychology of optimal experience. New Y </w:t>
      </w:r>
      <w:proofErr w:type="spellStart"/>
      <w:r w:rsidRPr="00AE2FE0">
        <w:t>ork</w:t>
      </w:r>
      <w:proofErr w:type="spellEnd"/>
      <w:r w:rsidRPr="00AE2FE0">
        <w:t>: Harper Perennial.</w:t>
      </w:r>
      <w:bookmarkEnd w:id="8"/>
      <w:bookmarkEnd w:id="9"/>
    </w:p>
    <w:p w14:paraId="2B10F3D5" w14:textId="77777777" w:rsidR="00FE1D02" w:rsidRDefault="003043E7" w:rsidP="001C6839">
      <w:pPr>
        <w:pStyle w:val="reference"/>
        <w:numPr>
          <w:ilvl w:val="0"/>
          <w:numId w:val="9"/>
        </w:numPr>
        <w:ind w:left="270" w:hanging="270"/>
      </w:pPr>
      <w:bookmarkStart w:id="10" w:name="_Ref288734063"/>
      <w:r w:rsidRPr="003043E7">
        <w:t>D’Mello, S. K., Craig, S. D., Witherspoon, A., McDaniel, B., &amp; Graesser, A. (2005). Integrating affect sensors in an intelligent tutoring system. In Proceedings of the Workshop on Affective Interactions: The computer in the affective loop workshop, Int</w:t>
      </w:r>
      <w:r>
        <w:t>ernational conference on intel</w:t>
      </w:r>
      <w:r w:rsidRPr="003043E7">
        <w:t>ligent user interfaces (pp. 7- 13). New York: Association for Computing Machinery.</w:t>
      </w:r>
      <w:bookmarkEnd w:id="10"/>
    </w:p>
    <w:p w14:paraId="4466EF39" w14:textId="77777777" w:rsidR="00FF4244" w:rsidRDefault="00FF4244" w:rsidP="001C6839">
      <w:pPr>
        <w:pStyle w:val="reference"/>
        <w:numPr>
          <w:ilvl w:val="0"/>
          <w:numId w:val="9"/>
        </w:numPr>
        <w:ind w:left="270" w:hanging="270"/>
      </w:pPr>
      <w:bookmarkStart w:id="11" w:name="_Ref288733955"/>
      <w:r w:rsidRPr="00FF4244">
        <w:t>D’Mello, S., Graesser, A. (2012). Dynamics of affective states during complex learning. Learning and Instruction, 22(2): 145-157.</w:t>
      </w:r>
      <w:bookmarkEnd w:id="11"/>
    </w:p>
    <w:p w14:paraId="3BF42411" w14:textId="77777777" w:rsidR="00FF4244" w:rsidRDefault="00FF4244" w:rsidP="00FF4244">
      <w:pPr>
        <w:pStyle w:val="reference"/>
        <w:numPr>
          <w:ilvl w:val="0"/>
          <w:numId w:val="9"/>
        </w:numPr>
        <w:ind w:left="270" w:hanging="270"/>
      </w:pPr>
      <w:bookmarkStart w:id="12" w:name="_Ref288733970"/>
      <w:proofErr w:type="spellStart"/>
      <w:r>
        <w:t>Fisherl</w:t>
      </w:r>
      <w:proofErr w:type="spellEnd"/>
      <w:r>
        <w:t>, C. D. (1993). Boredom at work: A neglected concept. Human Relations, 46(3), 395-417.</w:t>
      </w:r>
      <w:bookmarkEnd w:id="12"/>
    </w:p>
    <w:p w14:paraId="20186929" w14:textId="3D6D2A18" w:rsidR="00FF4244" w:rsidRDefault="002068C9" w:rsidP="002068C9">
      <w:pPr>
        <w:pStyle w:val="reference"/>
        <w:numPr>
          <w:ilvl w:val="0"/>
          <w:numId w:val="9"/>
        </w:numPr>
        <w:ind w:left="270" w:hanging="270"/>
      </w:pPr>
      <w:bookmarkStart w:id="13" w:name="_Ref288734016"/>
      <w:proofErr w:type="spellStart"/>
      <w:r w:rsidRPr="002068C9">
        <w:t>Ocumpaugh</w:t>
      </w:r>
      <w:proofErr w:type="spellEnd"/>
      <w:r w:rsidRPr="002068C9">
        <w:t xml:space="preserve">, J., Baker, R.S., Rodrigo, M.M.T. (2015) Baker Rodrigo </w:t>
      </w:r>
      <w:proofErr w:type="spellStart"/>
      <w:r w:rsidRPr="002068C9">
        <w:t>Ocumpaugh</w:t>
      </w:r>
      <w:proofErr w:type="spellEnd"/>
      <w:r w:rsidRPr="002068C9">
        <w:t xml:space="preserve"> Monitoring Protocol (BROMP) 2.0 Technical and Training Manual. Technical Report. New York, NY: Teachers College, Columbia University. Manila, Philippines: Ateneo Laboratory for the Learning Sciences.</w:t>
      </w:r>
      <w:bookmarkEnd w:id="13"/>
    </w:p>
    <w:p w14:paraId="6386FA39" w14:textId="77777777" w:rsidR="008135E6" w:rsidRPr="008135E6" w:rsidRDefault="008135E6" w:rsidP="00FF4244">
      <w:pPr>
        <w:pStyle w:val="reference"/>
        <w:numPr>
          <w:ilvl w:val="0"/>
          <w:numId w:val="9"/>
        </w:numPr>
        <w:ind w:left="270" w:hanging="270"/>
      </w:pPr>
      <w:bookmarkStart w:id="14" w:name="_Ref288733928"/>
      <w:proofErr w:type="spellStart"/>
      <w:r w:rsidRPr="008135E6">
        <w:t>Pardos</w:t>
      </w:r>
      <w:proofErr w:type="spellEnd"/>
      <w:r w:rsidRPr="008135E6">
        <w:t xml:space="preserve">, Z. A., Baker, R. S., San Pedro, M., </w:t>
      </w:r>
      <w:proofErr w:type="spellStart"/>
      <w:r w:rsidRPr="008135E6">
        <w:t>Gowda</w:t>
      </w:r>
      <w:proofErr w:type="spellEnd"/>
      <w:r w:rsidRPr="008135E6">
        <w:t xml:space="preserve">, S. M., &amp; </w:t>
      </w:r>
      <w:proofErr w:type="spellStart"/>
      <w:r w:rsidRPr="008135E6">
        <w:t>Gowda</w:t>
      </w:r>
      <w:proofErr w:type="spellEnd"/>
      <w:r w:rsidRPr="008135E6">
        <w:t>, S. M. (2014). Affective States and State Tests: Investigating How Affect and Engagement during the School Year Predict End-of-Year Learning Outcomes. Journal of Learning Analytics, 1(1), 107-128.</w:t>
      </w:r>
      <w:bookmarkEnd w:id="14"/>
    </w:p>
    <w:p w14:paraId="7134400E" w14:textId="3CC40E8C" w:rsidR="00CC18B0" w:rsidRDefault="00BE377E" w:rsidP="006F5336">
      <w:pPr>
        <w:pStyle w:val="reference"/>
        <w:numPr>
          <w:ilvl w:val="0"/>
          <w:numId w:val="9"/>
        </w:numPr>
        <w:ind w:left="270" w:hanging="270"/>
      </w:pPr>
      <w:bookmarkStart w:id="15" w:name="_Ref288733997"/>
      <w:r w:rsidRPr="00BE377E">
        <w:t xml:space="preserve">San Pedro, M. O. Z., d Baker, R. S., </w:t>
      </w:r>
      <w:proofErr w:type="spellStart"/>
      <w:r w:rsidRPr="00BE377E">
        <w:t>Gowda</w:t>
      </w:r>
      <w:proofErr w:type="spellEnd"/>
      <w:r w:rsidRPr="00BE377E">
        <w:t>, S. M., &amp; Heffernan, N. T. (2013, January). Towards an understanding of affect and knowledge from student interaction with an Intelligent Tutoring System. In Artificial Intelligence in Education (pp. 41-50). Springer Berlin Heidelberg.</w:t>
      </w:r>
      <w:bookmarkEnd w:id="15"/>
    </w:p>
    <w:p w14:paraId="7C8A3DF0" w14:textId="77777777" w:rsidR="00FF4244" w:rsidRDefault="00FF4244" w:rsidP="00FF4244">
      <w:pPr>
        <w:pStyle w:val="reference"/>
        <w:numPr>
          <w:ilvl w:val="0"/>
          <w:numId w:val="9"/>
        </w:numPr>
        <w:ind w:left="270" w:hanging="270"/>
      </w:pPr>
      <w:bookmarkStart w:id="16" w:name="_Ref288734030"/>
      <w:r w:rsidRPr="00CC18B0">
        <w:rPr>
          <w:lang w:val="fr-FR"/>
        </w:rPr>
        <w:t xml:space="preserve">Shute, V. J., Ventura, M., &amp; Kim, Y. J. (2013). </w:t>
      </w:r>
      <w:r>
        <w:t>Assessment and Learning of Qualitative Physics in Newton's Playground. The Journal of Educational Research, 106(6), 423-430.</w:t>
      </w:r>
      <w:bookmarkEnd w:id="16"/>
    </w:p>
    <w:p w14:paraId="18370FB4" w14:textId="1610C875" w:rsidR="0098662F" w:rsidRDefault="00B9107E" w:rsidP="002068C9">
      <w:pPr>
        <w:pStyle w:val="reference"/>
        <w:numPr>
          <w:ilvl w:val="0"/>
          <w:numId w:val="9"/>
        </w:numPr>
        <w:ind w:left="270" w:hanging="270"/>
      </w:pPr>
      <w:bookmarkStart w:id="17" w:name="_Ref288746091"/>
      <w:proofErr w:type="spellStart"/>
      <w:r>
        <w:t>S</w:t>
      </w:r>
      <w:r w:rsidRPr="00B9107E">
        <w:t>torey</w:t>
      </w:r>
      <w:proofErr w:type="spellEnd"/>
      <w:r w:rsidR="002068C9">
        <w:t>,</w:t>
      </w:r>
      <w:r w:rsidRPr="00B9107E">
        <w:t xml:space="preserve"> J</w:t>
      </w:r>
      <w:r>
        <w:t>.</w:t>
      </w:r>
      <w:r w:rsidRPr="00B9107E">
        <w:t>D. (2002)</w:t>
      </w:r>
      <w:r>
        <w:t>.</w:t>
      </w:r>
      <w:r w:rsidRPr="00B9107E">
        <w:t xml:space="preserve"> A direct approach to false discovery rates. Journal of the Royal Statistical Society, Series B, 64: 479-498.</w:t>
      </w:r>
      <w:bookmarkEnd w:id="17"/>
    </w:p>
    <w:sectPr w:rsidR="0098662F" w:rsidSect="0064474D">
      <w:type w:val="continuous"/>
      <w:pgSz w:w="11907" w:h="16840" w:code="9"/>
      <w:pgMar w:top="2948" w:right="2495" w:bottom="2948" w:left="2790" w:header="2381" w:footer="1389"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4CCE1" w14:textId="77777777" w:rsidR="004B5283" w:rsidRDefault="004B5283">
      <w:r>
        <w:separator/>
      </w:r>
    </w:p>
  </w:endnote>
  <w:endnote w:type="continuationSeparator" w:id="0">
    <w:p w14:paraId="289A50A0" w14:textId="77777777" w:rsidR="004B5283" w:rsidRDefault="004B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F909B" w14:textId="77777777" w:rsidR="004B5283" w:rsidRDefault="004B5283">
      <w:r>
        <w:separator/>
      </w:r>
    </w:p>
  </w:footnote>
  <w:footnote w:type="continuationSeparator" w:id="0">
    <w:p w14:paraId="7B0D8CC1" w14:textId="77777777" w:rsidR="004B5283" w:rsidRDefault="004B52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C41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2">
    <w:nsid w:val="17321332"/>
    <w:multiLevelType w:val="hybridMultilevel"/>
    <w:tmpl w:val="0C624962"/>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
    <w:nsid w:val="23B043D4"/>
    <w:multiLevelType w:val="hybridMultilevel"/>
    <w:tmpl w:val="8FE48F92"/>
    <w:lvl w:ilvl="0" w:tplc="0310BAB6">
      <w:numFmt w:val="bullet"/>
      <w:lvlText w:val=""/>
      <w:lvlJc w:val="left"/>
      <w:pPr>
        <w:ind w:left="587" w:hanging="360"/>
      </w:pPr>
      <w:rPr>
        <w:rFonts w:ascii="Symbol" w:eastAsia="Times New Roman" w:hAnsi="Symbol"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4">
    <w:nsid w:val="3126324F"/>
    <w:multiLevelType w:val="hybridMultilevel"/>
    <w:tmpl w:val="9D80D43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33BF5470"/>
    <w:multiLevelType w:val="singleLevel"/>
    <w:tmpl w:val="6F4E66F0"/>
    <w:lvl w:ilvl="0">
      <w:start w:val="1"/>
      <w:numFmt w:val="decimal"/>
      <w:lvlText w:val="%1."/>
      <w:legacy w:legacy="1" w:legacySpace="0" w:legacyIndent="227"/>
      <w:lvlJc w:val="left"/>
      <w:pPr>
        <w:ind w:left="227" w:hanging="227"/>
      </w:pPr>
    </w:lvl>
  </w:abstractNum>
  <w:abstractNum w:abstractNumId="6">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C8840C8"/>
    <w:multiLevelType w:val="hybridMultilevel"/>
    <w:tmpl w:val="74DC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03B20"/>
    <w:multiLevelType w:val="hybridMultilevel"/>
    <w:tmpl w:val="70747A48"/>
    <w:lvl w:ilvl="0" w:tplc="7B06127C">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03216"/>
    <w:multiLevelType w:val="hybridMultilevel"/>
    <w:tmpl w:val="736098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70890FF2"/>
    <w:multiLevelType w:val="hybridMultilevel"/>
    <w:tmpl w:val="CB6EE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9"/>
  </w:num>
  <w:num w:numId="6">
    <w:abstractNumId w:val="8"/>
  </w:num>
  <w:num w:numId="7">
    <w:abstractNumId w:val="10"/>
  </w:num>
  <w:num w:numId="8">
    <w:abstractNumId w:val="3"/>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DC"/>
    <w:rsid w:val="000003B1"/>
    <w:rsid w:val="000022C8"/>
    <w:rsid w:val="00014C4A"/>
    <w:rsid w:val="00024456"/>
    <w:rsid w:val="000265CD"/>
    <w:rsid w:val="000364C6"/>
    <w:rsid w:val="000403D1"/>
    <w:rsid w:val="00040D46"/>
    <w:rsid w:val="00041549"/>
    <w:rsid w:val="00050DFE"/>
    <w:rsid w:val="00053000"/>
    <w:rsid w:val="00053BA6"/>
    <w:rsid w:val="00087302"/>
    <w:rsid w:val="000910C2"/>
    <w:rsid w:val="00094440"/>
    <w:rsid w:val="000A01CE"/>
    <w:rsid w:val="000A14ED"/>
    <w:rsid w:val="000A7510"/>
    <w:rsid w:val="000B3CC7"/>
    <w:rsid w:val="000C6B24"/>
    <w:rsid w:val="000C7DEC"/>
    <w:rsid w:val="000D2192"/>
    <w:rsid w:val="000D7FE3"/>
    <w:rsid w:val="000E4EF4"/>
    <w:rsid w:val="000E528D"/>
    <w:rsid w:val="00165C6D"/>
    <w:rsid w:val="00172BC6"/>
    <w:rsid w:val="001761B3"/>
    <w:rsid w:val="0019191A"/>
    <w:rsid w:val="001950EC"/>
    <w:rsid w:val="001A1443"/>
    <w:rsid w:val="001B3DCA"/>
    <w:rsid w:val="001C5B01"/>
    <w:rsid w:val="001C67D9"/>
    <w:rsid w:val="001C6839"/>
    <w:rsid w:val="001D0777"/>
    <w:rsid w:val="001D3036"/>
    <w:rsid w:val="001D5C06"/>
    <w:rsid w:val="001D63A8"/>
    <w:rsid w:val="001D68AA"/>
    <w:rsid w:val="001E2B8E"/>
    <w:rsid w:val="001E71AB"/>
    <w:rsid w:val="001F2D96"/>
    <w:rsid w:val="001F5192"/>
    <w:rsid w:val="00201575"/>
    <w:rsid w:val="00203798"/>
    <w:rsid w:val="002068C9"/>
    <w:rsid w:val="00211702"/>
    <w:rsid w:val="00217657"/>
    <w:rsid w:val="00246001"/>
    <w:rsid w:val="00252BAB"/>
    <w:rsid w:val="00263B55"/>
    <w:rsid w:val="00271B19"/>
    <w:rsid w:val="00290436"/>
    <w:rsid w:val="002904DA"/>
    <w:rsid w:val="002916EF"/>
    <w:rsid w:val="0029401B"/>
    <w:rsid w:val="002A1A44"/>
    <w:rsid w:val="002A3EE9"/>
    <w:rsid w:val="002A7988"/>
    <w:rsid w:val="002B2579"/>
    <w:rsid w:val="002B6423"/>
    <w:rsid w:val="002D1EBC"/>
    <w:rsid w:val="002D2871"/>
    <w:rsid w:val="002E1978"/>
    <w:rsid w:val="002E46D0"/>
    <w:rsid w:val="002E5EEF"/>
    <w:rsid w:val="003043E7"/>
    <w:rsid w:val="0030643A"/>
    <w:rsid w:val="003215F5"/>
    <w:rsid w:val="0032214E"/>
    <w:rsid w:val="0033684D"/>
    <w:rsid w:val="003474C0"/>
    <w:rsid w:val="00355A99"/>
    <w:rsid w:val="003570F5"/>
    <w:rsid w:val="00361852"/>
    <w:rsid w:val="00387E26"/>
    <w:rsid w:val="00390D5C"/>
    <w:rsid w:val="00393E02"/>
    <w:rsid w:val="003A50AA"/>
    <w:rsid w:val="003A6090"/>
    <w:rsid w:val="003B6501"/>
    <w:rsid w:val="003C14A8"/>
    <w:rsid w:val="003C39F5"/>
    <w:rsid w:val="003C5FA0"/>
    <w:rsid w:val="003D3C40"/>
    <w:rsid w:val="003D5C7E"/>
    <w:rsid w:val="003D7412"/>
    <w:rsid w:val="003E1954"/>
    <w:rsid w:val="003E1B62"/>
    <w:rsid w:val="003E4768"/>
    <w:rsid w:val="003E7033"/>
    <w:rsid w:val="003F3BE5"/>
    <w:rsid w:val="00406940"/>
    <w:rsid w:val="004072A8"/>
    <w:rsid w:val="00422C0D"/>
    <w:rsid w:val="0042408F"/>
    <w:rsid w:val="004351D1"/>
    <w:rsid w:val="00435667"/>
    <w:rsid w:val="00441713"/>
    <w:rsid w:val="00463D57"/>
    <w:rsid w:val="00463E75"/>
    <w:rsid w:val="0047320E"/>
    <w:rsid w:val="00473E0F"/>
    <w:rsid w:val="00481A65"/>
    <w:rsid w:val="0049008A"/>
    <w:rsid w:val="00490437"/>
    <w:rsid w:val="00490E1E"/>
    <w:rsid w:val="004A39DB"/>
    <w:rsid w:val="004B0362"/>
    <w:rsid w:val="004B0EC0"/>
    <w:rsid w:val="004B1F2E"/>
    <w:rsid w:val="004B4D77"/>
    <w:rsid w:val="004B5283"/>
    <w:rsid w:val="004C31AA"/>
    <w:rsid w:val="004C4633"/>
    <w:rsid w:val="004C5769"/>
    <w:rsid w:val="004D1D97"/>
    <w:rsid w:val="004D7DBD"/>
    <w:rsid w:val="004E19EC"/>
    <w:rsid w:val="004F347F"/>
    <w:rsid w:val="00506FBF"/>
    <w:rsid w:val="005124BA"/>
    <w:rsid w:val="005154B2"/>
    <w:rsid w:val="00521337"/>
    <w:rsid w:val="00532694"/>
    <w:rsid w:val="005357E9"/>
    <w:rsid w:val="005403BD"/>
    <w:rsid w:val="00540D54"/>
    <w:rsid w:val="00541C68"/>
    <w:rsid w:val="00543954"/>
    <w:rsid w:val="005572FC"/>
    <w:rsid w:val="00585D23"/>
    <w:rsid w:val="00586CFF"/>
    <w:rsid w:val="005901C6"/>
    <w:rsid w:val="005A2371"/>
    <w:rsid w:val="005A5FE7"/>
    <w:rsid w:val="005B1E72"/>
    <w:rsid w:val="005B2176"/>
    <w:rsid w:val="005C5B32"/>
    <w:rsid w:val="005C6A12"/>
    <w:rsid w:val="005D0EC2"/>
    <w:rsid w:val="005D5932"/>
    <w:rsid w:val="005D6BE2"/>
    <w:rsid w:val="005E19C6"/>
    <w:rsid w:val="005F08F2"/>
    <w:rsid w:val="005F3268"/>
    <w:rsid w:val="005F632A"/>
    <w:rsid w:val="00600F74"/>
    <w:rsid w:val="00601395"/>
    <w:rsid w:val="00605C3A"/>
    <w:rsid w:val="00611465"/>
    <w:rsid w:val="006143EA"/>
    <w:rsid w:val="006225EA"/>
    <w:rsid w:val="00623017"/>
    <w:rsid w:val="0063068C"/>
    <w:rsid w:val="006436B3"/>
    <w:rsid w:val="0064474D"/>
    <w:rsid w:val="006455B3"/>
    <w:rsid w:val="00652234"/>
    <w:rsid w:val="00657488"/>
    <w:rsid w:val="00660D60"/>
    <w:rsid w:val="0067358A"/>
    <w:rsid w:val="0067477F"/>
    <w:rsid w:val="0068768A"/>
    <w:rsid w:val="006962C6"/>
    <w:rsid w:val="00697B36"/>
    <w:rsid w:val="00697C7F"/>
    <w:rsid w:val="006A1BD8"/>
    <w:rsid w:val="006B13EC"/>
    <w:rsid w:val="006B6DB0"/>
    <w:rsid w:val="006B773E"/>
    <w:rsid w:val="006D11D6"/>
    <w:rsid w:val="006D48DE"/>
    <w:rsid w:val="006F5336"/>
    <w:rsid w:val="0070520C"/>
    <w:rsid w:val="0071315D"/>
    <w:rsid w:val="007131A7"/>
    <w:rsid w:val="0071558C"/>
    <w:rsid w:val="00721766"/>
    <w:rsid w:val="007309D0"/>
    <w:rsid w:val="007435F6"/>
    <w:rsid w:val="0075254A"/>
    <w:rsid w:val="00756061"/>
    <w:rsid w:val="007745FC"/>
    <w:rsid w:val="007771B8"/>
    <w:rsid w:val="00777722"/>
    <w:rsid w:val="00782BF8"/>
    <w:rsid w:val="00792BFF"/>
    <w:rsid w:val="00792EFF"/>
    <w:rsid w:val="00795BB0"/>
    <w:rsid w:val="007A2456"/>
    <w:rsid w:val="007A2594"/>
    <w:rsid w:val="007B3317"/>
    <w:rsid w:val="007D4DDE"/>
    <w:rsid w:val="007D554E"/>
    <w:rsid w:val="007E6704"/>
    <w:rsid w:val="007F4EC7"/>
    <w:rsid w:val="008135E6"/>
    <w:rsid w:val="008236D1"/>
    <w:rsid w:val="00836555"/>
    <w:rsid w:val="008374D3"/>
    <w:rsid w:val="008400DC"/>
    <w:rsid w:val="00842609"/>
    <w:rsid w:val="00845A3E"/>
    <w:rsid w:val="00847B87"/>
    <w:rsid w:val="00866E3A"/>
    <w:rsid w:val="008A0799"/>
    <w:rsid w:val="008C0338"/>
    <w:rsid w:val="008C14C3"/>
    <w:rsid w:val="008D6C29"/>
    <w:rsid w:val="008E1ED4"/>
    <w:rsid w:val="008E300D"/>
    <w:rsid w:val="008E4DF4"/>
    <w:rsid w:val="008F1AD1"/>
    <w:rsid w:val="008F5413"/>
    <w:rsid w:val="008F6C91"/>
    <w:rsid w:val="009066B3"/>
    <w:rsid w:val="00914605"/>
    <w:rsid w:val="00915B5C"/>
    <w:rsid w:val="00915C5E"/>
    <w:rsid w:val="00931AF0"/>
    <w:rsid w:val="009355D0"/>
    <w:rsid w:val="0095068A"/>
    <w:rsid w:val="009548F2"/>
    <w:rsid w:val="0095792D"/>
    <w:rsid w:val="00966EB6"/>
    <w:rsid w:val="00967B3C"/>
    <w:rsid w:val="00974F65"/>
    <w:rsid w:val="0098348C"/>
    <w:rsid w:val="0098662F"/>
    <w:rsid w:val="009942DC"/>
    <w:rsid w:val="009A6D5C"/>
    <w:rsid w:val="009B1D59"/>
    <w:rsid w:val="009B5FFC"/>
    <w:rsid w:val="009C0350"/>
    <w:rsid w:val="009D186F"/>
    <w:rsid w:val="009D5431"/>
    <w:rsid w:val="009E4D97"/>
    <w:rsid w:val="009F4136"/>
    <w:rsid w:val="009F5177"/>
    <w:rsid w:val="00A02F42"/>
    <w:rsid w:val="00A06878"/>
    <w:rsid w:val="00A06B86"/>
    <w:rsid w:val="00A23FEB"/>
    <w:rsid w:val="00A271CB"/>
    <w:rsid w:val="00A33C72"/>
    <w:rsid w:val="00A41C7F"/>
    <w:rsid w:val="00A42A72"/>
    <w:rsid w:val="00A461D6"/>
    <w:rsid w:val="00A61B46"/>
    <w:rsid w:val="00A8258F"/>
    <w:rsid w:val="00A82AC2"/>
    <w:rsid w:val="00A92222"/>
    <w:rsid w:val="00A97690"/>
    <w:rsid w:val="00AA3574"/>
    <w:rsid w:val="00AA5967"/>
    <w:rsid w:val="00AB15A5"/>
    <w:rsid w:val="00AB66EE"/>
    <w:rsid w:val="00AC07D6"/>
    <w:rsid w:val="00AC29CC"/>
    <w:rsid w:val="00AC4AC8"/>
    <w:rsid w:val="00AD4969"/>
    <w:rsid w:val="00AE2FE0"/>
    <w:rsid w:val="00AF037E"/>
    <w:rsid w:val="00AF13B8"/>
    <w:rsid w:val="00B069EE"/>
    <w:rsid w:val="00B11178"/>
    <w:rsid w:val="00B1249E"/>
    <w:rsid w:val="00B1414F"/>
    <w:rsid w:val="00B17362"/>
    <w:rsid w:val="00B244D5"/>
    <w:rsid w:val="00B37108"/>
    <w:rsid w:val="00B5070C"/>
    <w:rsid w:val="00B8137C"/>
    <w:rsid w:val="00B81ADC"/>
    <w:rsid w:val="00B821C5"/>
    <w:rsid w:val="00B87AA2"/>
    <w:rsid w:val="00B9107E"/>
    <w:rsid w:val="00B91EF7"/>
    <w:rsid w:val="00B953BA"/>
    <w:rsid w:val="00B963A1"/>
    <w:rsid w:val="00BA1F0C"/>
    <w:rsid w:val="00BA458F"/>
    <w:rsid w:val="00BA4722"/>
    <w:rsid w:val="00BB2D31"/>
    <w:rsid w:val="00BB3B86"/>
    <w:rsid w:val="00BB5ACF"/>
    <w:rsid w:val="00BB6E00"/>
    <w:rsid w:val="00BB6F61"/>
    <w:rsid w:val="00BC14D0"/>
    <w:rsid w:val="00BC5ED3"/>
    <w:rsid w:val="00BC7577"/>
    <w:rsid w:val="00BC7F4D"/>
    <w:rsid w:val="00BD33FD"/>
    <w:rsid w:val="00BE221D"/>
    <w:rsid w:val="00BE231B"/>
    <w:rsid w:val="00BE377E"/>
    <w:rsid w:val="00BE5963"/>
    <w:rsid w:val="00C054F2"/>
    <w:rsid w:val="00C07238"/>
    <w:rsid w:val="00C07C5D"/>
    <w:rsid w:val="00C10BFA"/>
    <w:rsid w:val="00C12A38"/>
    <w:rsid w:val="00C16F71"/>
    <w:rsid w:val="00C21DCE"/>
    <w:rsid w:val="00C24F0C"/>
    <w:rsid w:val="00C27BCB"/>
    <w:rsid w:val="00C4505E"/>
    <w:rsid w:val="00C64D09"/>
    <w:rsid w:val="00C9514F"/>
    <w:rsid w:val="00C951AE"/>
    <w:rsid w:val="00C95EFA"/>
    <w:rsid w:val="00CA0252"/>
    <w:rsid w:val="00CA62A0"/>
    <w:rsid w:val="00CA6C73"/>
    <w:rsid w:val="00CB06D1"/>
    <w:rsid w:val="00CB2306"/>
    <w:rsid w:val="00CB6B3E"/>
    <w:rsid w:val="00CC18B0"/>
    <w:rsid w:val="00CC2C8C"/>
    <w:rsid w:val="00CC7487"/>
    <w:rsid w:val="00CD3B7F"/>
    <w:rsid w:val="00CD3E31"/>
    <w:rsid w:val="00CE2CBD"/>
    <w:rsid w:val="00CE2FB6"/>
    <w:rsid w:val="00CE36C0"/>
    <w:rsid w:val="00CF0521"/>
    <w:rsid w:val="00CF3BCD"/>
    <w:rsid w:val="00CF6745"/>
    <w:rsid w:val="00D05788"/>
    <w:rsid w:val="00D15D54"/>
    <w:rsid w:val="00D16E70"/>
    <w:rsid w:val="00D17B92"/>
    <w:rsid w:val="00D23930"/>
    <w:rsid w:val="00D25733"/>
    <w:rsid w:val="00D46E59"/>
    <w:rsid w:val="00D63F52"/>
    <w:rsid w:val="00D764B3"/>
    <w:rsid w:val="00D8313E"/>
    <w:rsid w:val="00DB6354"/>
    <w:rsid w:val="00DB7E68"/>
    <w:rsid w:val="00DC2926"/>
    <w:rsid w:val="00DD4C6E"/>
    <w:rsid w:val="00DD625B"/>
    <w:rsid w:val="00DD625F"/>
    <w:rsid w:val="00DF0E34"/>
    <w:rsid w:val="00DF13DB"/>
    <w:rsid w:val="00E07FF0"/>
    <w:rsid w:val="00E10D73"/>
    <w:rsid w:val="00E26A33"/>
    <w:rsid w:val="00E3194C"/>
    <w:rsid w:val="00E3380D"/>
    <w:rsid w:val="00E35F36"/>
    <w:rsid w:val="00E36F0A"/>
    <w:rsid w:val="00E37DAC"/>
    <w:rsid w:val="00E4115F"/>
    <w:rsid w:val="00E42997"/>
    <w:rsid w:val="00E57D54"/>
    <w:rsid w:val="00E732B8"/>
    <w:rsid w:val="00E73857"/>
    <w:rsid w:val="00E73862"/>
    <w:rsid w:val="00E859D3"/>
    <w:rsid w:val="00EA1D86"/>
    <w:rsid w:val="00EA3C57"/>
    <w:rsid w:val="00EC6B75"/>
    <w:rsid w:val="00ED1F84"/>
    <w:rsid w:val="00ED7D93"/>
    <w:rsid w:val="00EE55BE"/>
    <w:rsid w:val="00F00716"/>
    <w:rsid w:val="00F03E32"/>
    <w:rsid w:val="00F238DD"/>
    <w:rsid w:val="00F25865"/>
    <w:rsid w:val="00F27AB7"/>
    <w:rsid w:val="00F35037"/>
    <w:rsid w:val="00F36F61"/>
    <w:rsid w:val="00F426A2"/>
    <w:rsid w:val="00F43CE8"/>
    <w:rsid w:val="00F510AB"/>
    <w:rsid w:val="00F54FCB"/>
    <w:rsid w:val="00F6015E"/>
    <w:rsid w:val="00F616FD"/>
    <w:rsid w:val="00F62981"/>
    <w:rsid w:val="00F710CF"/>
    <w:rsid w:val="00F95A8B"/>
    <w:rsid w:val="00F974FF"/>
    <w:rsid w:val="00FA0BD0"/>
    <w:rsid w:val="00FA0C3A"/>
    <w:rsid w:val="00FA17BD"/>
    <w:rsid w:val="00FB0E53"/>
    <w:rsid w:val="00FC093C"/>
    <w:rsid w:val="00FC4576"/>
    <w:rsid w:val="00FC63F7"/>
    <w:rsid w:val="00FD053D"/>
    <w:rsid w:val="00FD1CE1"/>
    <w:rsid w:val="00FE1D02"/>
    <w:rsid w:val="00FF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3E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D59"/>
    <w:pPr>
      <w:ind w:firstLine="227"/>
      <w:jc w:val="both"/>
    </w:pPr>
    <w:rPr>
      <w:rFonts w:ascii="Times" w:hAnsi="Times"/>
      <w:lang w:eastAsia="de-DE"/>
    </w:rPr>
  </w:style>
  <w:style w:type="paragraph" w:styleId="Heading1">
    <w:name w:val="heading 1"/>
    <w:basedOn w:val="Normal"/>
    <w:next w:val="Normal"/>
    <w:qFormat/>
    <w:rsid w:val="008F5413"/>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8F5413"/>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8F5413"/>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8F5413"/>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8F5413"/>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8F5413"/>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8F5413"/>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8F5413"/>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8F5413"/>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5413"/>
    <w:pPr>
      <w:tabs>
        <w:tab w:val="center" w:pos="4536"/>
        <w:tab w:val="right" w:pos="9072"/>
      </w:tabs>
    </w:pPr>
  </w:style>
  <w:style w:type="paragraph" w:styleId="Footer">
    <w:name w:val="footer"/>
    <w:basedOn w:val="Normal"/>
    <w:rsid w:val="008F5413"/>
    <w:pPr>
      <w:tabs>
        <w:tab w:val="center" w:pos="4536"/>
        <w:tab w:val="right" w:pos="9072"/>
      </w:tabs>
    </w:pPr>
  </w:style>
  <w:style w:type="character" w:styleId="PageNumber">
    <w:name w:val="page number"/>
    <w:basedOn w:val="DefaultParagraphFont"/>
    <w:rsid w:val="008F5413"/>
  </w:style>
  <w:style w:type="paragraph" w:customStyle="1" w:styleId="Title1">
    <w:name w:val="Title1"/>
    <w:basedOn w:val="Normal"/>
    <w:next w:val="author"/>
    <w:rsid w:val="008F5413"/>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8F5413"/>
    <w:pPr>
      <w:spacing w:after="220"/>
      <w:jc w:val="center"/>
    </w:pPr>
  </w:style>
  <w:style w:type="paragraph" w:customStyle="1" w:styleId="authorinfo">
    <w:name w:val="authorinfo"/>
    <w:basedOn w:val="Normal"/>
    <w:next w:val="email"/>
    <w:rsid w:val="008F5413"/>
    <w:pPr>
      <w:jc w:val="center"/>
    </w:pPr>
    <w:rPr>
      <w:sz w:val="18"/>
    </w:rPr>
  </w:style>
  <w:style w:type="paragraph" w:customStyle="1" w:styleId="email">
    <w:name w:val="email"/>
    <w:basedOn w:val="Normal"/>
    <w:next w:val="abstract"/>
    <w:rsid w:val="008F5413"/>
    <w:pPr>
      <w:jc w:val="center"/>
    </w:pPr>
    <w:rPr>
      <w:sz w:val="18"/>
    </w:rPr>
  </w:style>
  <w:style w:type="paragraph" w:customStyle="1" w:styleId="heading10">
    <w:name w:val="heading1"/>
    <w:basedOn w:val="Normal"/>
    <w:next w:val="p1a"/>
    <w:rsid w:val="008F5413"/>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8F5413"/>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8F5413"/>
    <w:pPr>
      <w:keepNext/>
      <w:keepLines/>
      <w:tabs>
        <w:tab w:val="left" w:pos="284"/>
      </w:tabs>
      <w:suppressAutoHyphens/>
      <w:spacing w:before="320"/>
      <w:ind w:firstLine="0"/>
    </w:pPr>
    <w:rPr>
      <w:b/>
    </w:rPr>
  </w:style>
  <w:style w:type="paragraph" w:customStyle="1" w:styleId="equation">
    <w:name w:val="equation"/>
    <w:basedOn w:val="Normal"/>
    <w:next w:val="Normal"/>
    <w:rsid w:val="008F5413"/>
    <w:pPr>
      <w:tabs>
        <w:tab w:val="left" w:pos="6237"/>
      </w:tabs>
      <w:spacing w:before="120" w:after="120"/>
      <w:ind w:left="227"/>
      <w:jc w:val="center"/>
    </w:pPr>
  </w:style>
  <w:style w:type="paragraph" w:customStyle="1" w:styleId="figlegend">
    <w:name w:val="figlegend"/>
    <w:basedOn w:val="Normal"/>
    <w:next w:val="Normal"/>
    <w:rsid w:val="008F5413"/>
    <w:pPr>
      <w:keepNext/>
      <w:keepLines/>
      <w:spacing w:before="120" w:after="240"/>
      <w:ind w:firstLine="0"/>
    </w:pPr>
    <w:rPr>
      <w:sz w:val="18"/>
    </w:rPr>
  </w:style>
  <w:style w:type="paragraph" w:customStyle="1" w:styleId="tablelegend">
    <w:name w:val="tablelegend"/>
    <w:basedOn w:val="Normal"/>
    <w:next w:val="Normal"/>
    <w:rsid w:val="008F5413"/>
    <w:pPr>
      <w:keepNext/>
      <w:keepLines/>
      <w:spacing w:before="240" w:after="120"/>
      <w:ind w:firstLine="0"/>
    </w:pPr>
    <w:rPr>
      <w:sz w:val="18"/>
      <w:lang w:val="de-DE"/>
    </w:rPr>
  </w:style>
  <w:style w:type="paragraph" w:customStyle="1" w:styleId="abstract">
    <w:name w:val="abstract"/>
    <w:basedOn w:val="p1a"/>
    <w:next w:val="heading10"/>
    <w:rsid w:val="008F5413"/>
    <w:pPr>
      <w:spacing w:before="600" w:after="120"/>
      <w:ind w:left="567" w:right="567"/>
    </w:pPr>
    <w:rPr>
      <w:sz w:val="18"/>
    </w:rPr>
  </w:style>
  <w:style w:type="paragraph" w:customStyle="1" w:styleId="p1a">
    <w:name w:val="p1a"/>
    <w:basedOn w:val="Normal"/>
    <w:next w:val="Normal"/>
    <w:link w:val="p1aZchn"/>
    <w:rsid w:val="008F5413"/>
    <w:pPr>
      <w:ind w:firstLine="0"/>
    </w:pPr>
  </w:style>
  <w:style w:type="paragraph" w:customStyle="1" w:styleId="reference">
    <w:name w:val="reference"/>
    <w:basedOn w:val="Normal"/>
    <w:rsid w:val="008F5413"/>
    <w:pPr>
      <w:ind w:left="227" w:hanging="227"/>
    </w:pPr>
    <w:rPr>
      <w:sz w:val="18"/>
    </w:rPr>
  </w:style>
  <w:style w:type="character" w:styleId="FootnoteReference">
    <w:name w:val="footnote reference"/>
    <w:semiHidden/>
    <w:rsid w:val="008F5413"/>
    <w:rPr>
      <w:position w:val="6"/>
      <w:sz w:val="12"/>
      <w:vertAlign w:val="baseline"/>
    </w:rPr>
  </w:style>
  <w:style w:type="paragraph" w:customStyle="1" w:styleId="Runninghead-left">
    <w:name w:val="Running head - left"/>
    <w:basedOn w:val="Normal"/>
    <w:rsid w:val="008F5413"/>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8F5413"/>
    <w:pPr>
      <w:jc w:val="right"/>
    </w:pPr>
  </w:style>
  <w:style w:type="paragraph" w:customStyle="1" w:styleId="BulletItem">
    <w:name w:val="Bullet Item"/>
    <w:basedOn w:val="Item"/>
    <w:rsid w:val="008F5413"/>
  </w:style>
  <w:style w:type="paragraph" w:customStyle="1" w:styleId="Item">
    <w:name w:val="Item"/>
    <w:basedOn w:val="Normal"/>
    <w:next w:val="Normal"/>
    <w:rsid w:val="008F5413"/>
    <w:pPr>
      <w:tabs>
        <w:tab w:val="left" w:pos="227"/>
        <w:tab w:val="left" w:pos="454"/>
      </w:tabs>
      <w:ind w:left="227" w:hanging="227"/>
    </w:pPr>
  </w:style>
  <w:style w:type="paragraph" w:customStyle="1" w:styleId="NumberedItem">
    <w:name w:val="Numbered Item"/>
    <w:basedOn w:val="Item"/>
    <w:rsid w:val="008F5413"/>
  </w:style>
  <w:style w:type="paragraph" w:styleId="FootnoteText">
    <w:name w:val="footnote text"/>
    <w:basedOn w:val="Normal"/>
    <w:semiHidden/>
    <w:rsid w:val="008F5413"/>
    <w:pPr>
      <w:tabs>
        <w:tab w:val="left" w:pos="170"/>
      </w:tabs>
      <w:ind w:left="170" w:hanging="170"/>
    </w:pPr>
    <w:rPr>
      <w:sz w:val="18"/>
    </w:rPr>
  </w:style>
  <w:style w:type="paragraph" w:customStyle="1" w:styleId="programcode">
    <w:name w:val="programcode"/>
    <w:basedOn w:val="Normal"/>
    <w:rsid w:val="008F5413"/>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8F5413"/>
    <w:pPr>
      <w:tabs>
        <w:tab w:val="left" w:pos="170"/>
      </w:tabs>
      <w:ind w:left="170" w:hanging="170"/>
    </w:pPr>
    <w:rPr>
      <w:sz w:val="18"/>
    </w:rPr>
  </w:style>
  <w:style w:type="paragraph" w:styleId="Caption">
    <w:name w:val="caption"/>
    <w:basedOn w:val="Normal"/>
    <w:next w:val="Normal"/>
    <w:qFormat/>
    <w:rsid w:val="008F5413"/>
    <w:pPr>
      <w:spacing w:before="120" w:after="120"/>
    </w:pPr>
    <w:rPr>
      <w:b/>
    </w:rPr>
  </w:style>
  <w:style w:type="paragraph" w:customStyle="1" w:styleId="heading40">
    <w:name w:val="heading4"/>
    <w:basedOn w:val="Normal"/>
    <w:next w:val="p1a"/>
    <w:rsid w:val="008F5413"/>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styleId="CommentReference">
    <w:name w:val="annotation reference"/>
    <w:semiHidden/>
    <w:rsid w:val="00C16F71"/>
    <w:rPr>
      <w:sz w:val="16"/>
      <w:szCs w:val="16"/>
    </w:rPr>
  </w:style>
  <w:style w:type="paragraph" w:styleId="CommentText">
    <w:name w:val="annotation text"/>
    <w:basedOn w:val="Normal"/>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character" w:styleId="FollowedHyperlink">
    <w:name w:val="FollowedHyperlink"/>
    <w:rsid w:val="00F36F61"/>
    <w:rPr>
      <w:color w:val="800080"/>
      <w:u w:val="single"/>
    </w:rPr>
  </w:style>
  <w:style w:type="table" w:styleId="TableGrid">
    <w:name w:val="Table Grid"/>
    <w:basedOn w:val="TableNormal"/>
    <w:rsid w:val="00601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5403BD"/>
    <w:rPr>
      <w:rFonts w:ascii="Times" w:hAnsi="Times"/>
      <w:lang w:eastAsia="de-DE"/>
    </w:rPr>
  </w:style>
  <w:style w:type="paragraph" w:styleId="ListParagraph">
    <w:name w:val="List Paragraph"/>
    <w:basedOn w:val="Normal"/>
    <w:uiPriority w:val="72"/>
    <w:rsid w:val="002B64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D59"/>
    <w:pPr>
      <w:ind w:firstLine="227"/>
      <w:jc w:val="both"/>
    </w:pPr>
    <w:rPr>
      <w:rFonts w:ascii="Times" w:hAnsi="Times"/>
      <w:lang w:eastAsia="de-DE"/>
    </w:rPr>
  </w:style>
  <w:style w:type="paragraph" w:styleId="Heading1">
    <w:name w:val="heading 1"/>
    <w:basedOn w:val="Normal"/>
    <w:next w:val="Normal"/>
    <w:qFormat/>
    <w:rsid w:val="008F5413"/>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8F5413"/>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8F5413"/>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8F5413"/>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8F5413"/>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8F5413"/>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8F5413"/>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8F5413"/>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8F5413"/>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5413"/>
    <w:pPr>
      <w:tabs>
        <w:tab w:val="center" w:pos="4536"/>
        <w:tab w:val="right" w:pos="9072"/>
      </w:tabs>
    </w:pPr>
  </w:style>
  <w:style w:type="paragraph" w:styleId="Footer">
    <w:name w:val="footer"/>
    <w:basedOn w:val="Normal"/>
    <w:rsid w:val="008F5413"/>
    <w:pPr>
      <w:tabs>
        <w:tab w:val="center" w:pos="4536"/>
        <w:tab w:val="right" w:pos="9072"/>
      </w:tabs>
    </w:pPr>
  </w:style>
  <w:style w:type="character" w:styleId="PageNumber">
    <w:name w:val="page number"/>
    <w:basedOn w:val="DefaultParagraphFont"/>
    <w:rsid w:val="008F5413"/>
  </w:style>
  <w:style w:type="paragraph" w:customStyle="1" w:styleId="Title1">
    <w:name w:val="Title1"/>
    <w:basedOn w:val="Normal"/>
    <w:next w:val="author"/>
    <w:rsid w:val="008F5413"/>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8F5413"/>
    <w:pPr>
      <w:spacing w:after="220"/>
      <w:jc w:val="center"/>
    </w:pPr>
  </w:style>
  <w:style w:type="paragraph" w:customStyle="1" w:styleId="authorinfo">
    <w:name w:val="authorinfo"/>
    <w:basedOn w:val="Normal"/>
    <w:next w:val="email"/>
    <w:rsid w:val="008F5413"/>
    <w:pPr>
      <w:jc w:val="center"/>
    </w:pPr>
    <w:rPr>
      <w:sz w:val="18"/>
    </w:rPr>
  </w:style>
  <w:style w:type="paragraph" w:customStyle="1" w:styleId="email">
    <w:name w:val="email"/>
    <w:basedOn w:val="Normal"/>
    <w:next w:val="abstract"/>
    <w:rsid w:val="008F5413"/>
    <w:pPr>
      <w:jc w:val="center"/>
    </w:pPr>
    <w:rPr>
      <w:sz w:val="18"/>
    </w:rPr>
  </w:style>
  <w:style w:type="paragraph" w:customStyle="1" w:styleId="heading10">
    <w:name w:val="heading1"/>
    <w:basedOn w:val="Normal"/>
    <w:next w:val="p1a"/>
    <w:rsid w:val="008F5413"/>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8F5413"/>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8F5413"/>
    <w:pPr>
      <w:keepNext/>
      <w:keepLines/>
      <w:tabs>
        <w:tab w:val="left" w:pos="284"/>
      </w:tabs>
      <w:suppressAutoHyphens/>
      <w:spacing w:before="320"/>
      <w:ind w:firstLine="0"/>
    </w:pPr>
    <w:rPr>
      <w:b/>
    </w:rPr>
  </w:style>
  <w:style w:type="paragraph" w:customStyle="1" w:styleId="equation">
    <w:name w:val="equation"/>
    <w:basedOn w:val="Normal"/>
    <w:next w:val="Normal"/>
    <w:rsid w:val="008F5413"/>
    <w:pPr>
      <w:tabs>
        <w:tab w:val="left" w:pos="6237"/>
      </w:tabs>
      <w:spacing w:before="120" w:after="120"/>
      <w:ind w:left="227"/>
      <w:jc w:val="center"/>
    </w:pPr>
  </w:style>
  <w:style w:type="paragraph" w:customStyle="1" w:styleId="figlegend">
    <w:name w:val="figlegend"/>
    <w:basedOn w:val="Normal"/>
    <w:next w:val="Normal"/>
    <w:rsid w:val="008F5413"/>
    <w:pPr>
      <w:keepNext/>
      <w:keepLines/>
      <w:spacing w:before="120" w:after="240"/>
      <w:ind w:firstLine="0"/>
    </w:pPr>
    <w:rPr>
      <w:sz w:val="18"/>
    </w:rPr>
  </w:style>
  <w:style w:type="paragraph" w:customStyle="1" w:styleId="tablelegend">
    <w:name w:val="tablelegend"/>
    <w:basedOn w:val="Normal"/>
    <w:next w:val="Normal"/>
    <w:rsid w:val="008F5413"/>
    <w:pPr>
      <w:keepNext/>
      <w:keepLines/>
      <w:spacing w:before="240" w:after="120"/>
      <w:ind w:firstLine="0"/>
    </w:pPr>
    <w:rPr>
      <w:sz w:val="18"/>
      <w:lang w:val="de-DE"/>
    </w:rPr>
  </w:style>
  <w:style w:type="paragraph" w:customStyle="1" w:styleId="abstract">
    <w:name w:val="abstract"/>
    <w:basedOn w:val="p1a"/>
    <w:next w:val="heading10"/>
    <w:rsid w:val="008F5413"/>
    <w:pPr>
      <w:spacing w:before="600" w:after="120"/>
      <w:ind w:left="567" w:right="567"/>
    </w:pPr>
    <w:rPr>
      <w:sz w:val="18"/>
    </w:rPr>
  </w:style>
  <w:style w:type="paragraph" w:customStyle="1" w:styleId="p1a">
    <w:name w:val="p1a"/>
    <w:basedOn w:val="Normal"/>
    <w:next w:val="Normal"/>
    <w:link w:val="p1aZchn"/>
    <w:rsid w:val="008F5413"/>
    <w:pPr>
      <w:ind w:firstLine="0"/>
    </w:pPr>
  </w:style>
  <w:style w:type="paragraph" w:customStyle="1" w:styleId="reference">
    <w:name w:val="reference"/>
    <w:basedOn w:val="Normal"/>
    <w:rsid w:val="008F5413"/>
    <w:pPr>
      <w:ind w:left="227" w:hanging="227"/>
    </w:pPr>
    <w:rPr>
      <w:sz w:val="18"/>
    </w:rPr>
  </w:style>
  <w:style w:type="character" w:styleId="FootnoteReference">
    <w:name w:val="footnote reference"/>
    <w:semiHidden/>
    <w:rsid w:val="008F5413"/>
    <w:rPr>
      <w:position w:val="6"/>
      <w:sz w:val="12"/>
      <w:vertAlign w:val="baseline"/>
    </w:rPr>
  </w:style>
  <w:style w:type="paragraph" w:customStyle="1" w:styleId="Runninghead-left">
    <w:name w:val="Running head - left"/>
    <w:basedOn w:val="Normal"/>
    <w:rsid w:val="008F5413"/>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8F5413"/>
    <w:pPr>
      <w:jc w:val="right"/>
    </w:pPr>
  </w:style>
  <w:style w:type="paragraph" w:customStyle="1" w:styleId="BulletItem">
    <w:name w:val="Bullet Item"/>
    <w:basedOn w:val="Item"/>
    <w:rsid w:val="008F5413"/>
  </w:style>
  <w:style w:type="paragraph" w:customStyle="1" w:styleId="Item">
    <w:name w:val="Item"/>
    <w:basedOn w:val="Normal"/>
    <w:next w:val="Normal"/>
    <w:rsid w:val="008F5413"/>
    <w:pPr>
      <w:tabs>
        <w:tab w:val="left" w:pos="227"/>
        <w:tab w:val="left" w:pos="454"/>
      </w:tabs>
      <w:ind w:left="227" w:hanging="227"/>
    </w:pPr>
  </w:style>
  <w:style w:type="paragraph" w:customStyle="1" w:styleId="NumberedItem">
    <w:name w:val="Numbered Item"/>
    <w:basedOn w:val="Item"/>
    <w:rsid w:val="008F5413"/>
  </w:style>
  <w:style w:type="paragraph" w:styleId="FootnoteText">
    <w:name w:val="footnote text"/>
    <w:basedOn w:val="Normal"/>
    <w:semiHidden/>
    <w:rsid w:val="008F5413"/>
    <w:pPr>
      <w:tabs>
        <w:tab w:val="left" w:pos="170"/>
      </w:tabs>
      <w:ind w:left="170" w:hanging="170"/>
    </w:pPr>
    <w:rPr>
      <w:sz w:val="18"/>
    </w:rPr>
  </w:style>
  <w:style w:type="paragraph" w:customStyle="1" w:styleId="programcode">
    <w:name w:val="programcode"/>
    <w:basedOn w:val="Normal"/>
    <w:rsid w:val="008F5413"/>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8F5413"/>
    <w:pPr>
      <w:tabs>
        <w:tab w:val="left" w:pos="170"/>
      </w:tabs>
      <w:ind w:left="170" w:hanging="170"/>
    </w:pPr>
    <w:rPr>
      <w:sz w:val="18"/>
    </w:rPr>
  </w:style>
  <w:style w:type="paragraph" w:styleId="Caption">
    <w:name w:val="caption"/>
    <w:basedOn w:val="Normal"/>
    <w:next w:val="Normal"/>
    <w:qFormat/>
    <w:rsid w:val="008F5413"/>
    <w:pPr>
      <w:spacing w:before="120" w:after="120"/>
    </w:pPr>
    <w:rPr>
      <w:b/>
    </w:rPr>
  </w:style>
  <w:style w:type="paragraph" w:customStyle="1" w:styleId="heading40">
    <w:name w:val="heading4"/>
    <w:basedOn w:val="Normal"/>
    <w:next w:val="p1a"/>
    <w:rsid w:val="008F5413"/>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styleId="CommentReference">
    <w:name w:val="annotation reference"/>
    <w:semiHidden/>
    <w:rsid w:val="00C16F71"/>
    <w:rPr>
      <w:sz w:val="16"/>
      <w:szCs w:val="16"/>
    </w:rPr>
  </w:style>
  <w:style w:type="paragraph" w:styleId="CommentText">
    <w:name w:val="annotation text"/>
    <w:basedOn w:val="Normal"/>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character" w:styleId="FollowedHyperlink">
    <w:name w:val="FollowedHyperlink"/>
    <w:rsid w:val="00F36F61"/>
    <w:rPr>
      <w:color w:val="800080"/>
      <w:u w:val="single"/>
    </w:rPr>
  </w:style>
  <w:style w:type="table" w:styleId="TableGrid">
    <w:name w:val="Table Grid"/>
    <w:basedOn w:val="TableNormal"/>
    <w:rsid w:val="00601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5403BD"/>
    <w:rPr>
      <w:rFonts w:ascii="Times" w:hAnsi="Times"/>
      <w:lang w:eastAsia="de-DE"/>
    </w:rPr>
  </w:style>
  <w:style w:type="paragraph" w:styleId="ListParagraph">
    <w:name w:val="List Paragraph"/>
    <w:basedOn w:val="Normal"/>
    <w:uiPriority w:val="72"/>
    <w:rsid w:val="002B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76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F5BA6-F51A-F941-B593-B15FCFB3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Einstellungen\Kramer.SPRINGER-SBM\Desktop\in here\AuthorsInstructions\Wordnew\trial.dot</Template>
  <TotalTime>36</TotalTime>
  <Pages>10</Pages>
  <Words>4155</Words>
  <Characters>23686</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27786</CharactersWithSpaces>
  <SharedDoc>false</SharedDoc>
  <HLinks>
    <vt:vector size="18" baseType="variant">
      <vt:variant>
        <vt:i4>1310814</vt:i4>
      </vt:variant>
      <vt:variant>
        <vt:i4>15</vt:i4>
      </vt:variant>
      <vt:variant>
        <vt:i4>0</vt:i4>
      </vt:variant>
      <vt:variant>
        <vt:i4>5</vt:i4>
      </vt:variant>
      <vt:variant>
        <vt:lpwstr>mailto:orders-HD-individuals@springer.com</vt:lpwstr>
      </vt:variant>
      <vt:variant>
        <vt:lpwstr/>
      </vt:variant>
      <vt:variant>
        <vt:i4>1245299</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mandres  </cp:lastModifiedBy>
  <cp:revision>6</cp:revision>
  <cp:lastPrinted>2006-05-07T10:03:00Z</cp:lastPrinted>
  <dcterms:created xsi:type="dcterms:W3CDTF">2015-05-07T03:53:00Z</dcterms:created>
  <dcterms:modified xsi:type="dcterms:W3CDTF">2015-05-07T04:38:00Z</dcterms:modified>
</cp:coreProperties>
</file>